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0F" w:rsidRPr="001E4F5F" w:rsidRDefault="001E4F5F" w:rsidP="001E4F5F">
      <w:pPr>
        <w:spacing w:line="360" w:lineRule="auto"/>
        <w:jc w:val="center"/>
        <w:rPr>
          <w:rFonts w:ascii="Arial" w:hAnsi="Arial" w:cs="Arial"/>
          <w:b/>
          <w:lang w:val="es-MX"/>
        </w:rPr>
      </w:pPr>
      <w:r w:rsidRPr="001E4F5F">
        <w:rPr>
          <w:rFonts w:ascii="Arial" w:hAnsi="Arial" w:cs="Arial"/>
          <w:b/>
          <w:lang w:val="es-MX"/>
        </w:rPr>
        <w:t>GOBIERNO DEL ESTADO DE CHIHUAHUA</w:t>
      </w:r>
    </w:p>
    <w:p w:rsidR="001E4F5F" w:rsidRPr="001E4F5F" w:rsidRDefault="001E4F5F" w:rsidP="001E4F5F">
      <w:pPr>
        <w:spacing w:line="360" w:lineRule="auto"/>
        <w:jc w:val="center"/>
        <w:rPr>
          <w:rFonts w:ascii="Arial" w:hAnsi="Arial" w:cs="Arial"/>
          <w:b/>
          <w:lang w:val="es-MX"/>
        </w:rPr>
      </w:pPr>
      <w:r w:rsidRPr="001E4F5F">
        <w:rPr>
          <w:rFonts w:ascii="Arial" w:hAnsi="Arial" w:cs="Arial"/>
          <w:b/>
          <w:lang w:val="es-MX"/>
        </w:rPr>
        <w:t>NOTAS A LOS ESTADOS FINANCIEROS</w:t>
      </w:r>
    </w:p>
    <w:p w:rsidR="00CB30E0" w:rsidRDefault="00CB30E0" w:rsidP="009D0034">
      <w:pPr>
        <w:spacing w:line="360" w:lineRule="auto"/>
        <w:jc w:val="center"/>
        <w:rPr>
          <w:rFonts w:ascii="Arial" w:hAnsi="Arial" w:cs="Arial"/>
          <w:b/>
          <w:lang w:val="es-MX"/>
        </w:rPr>
      </w:pPr>
    </w:p>
    <w:p w:rsidR="00182BDF" w:rsidRDefault="00182BDF" w:rsidP="009D0034">
      <w:pPr>
        <w:spacing w:line="360" w:lineRule="auto"/>
        <w:jc w:val="center"/>
        <w:rPr>
          <w:rFonts w:ascii="Arial" w:hAnsi="Arial" w:cs="Arial"/>
          <w:b/>
          <w:lang w:val="es-MX"/>
        </w:rPr>
      </w:pPr>
    </w:p>
    <w:p w:rsidR="00182BDF" w:rsidRDefault="00182BDF" w:rsidP="009D0034">
      <w:pPr>
        <w:spacing w:line="360" w:lineRule="auto"/>
        <w:jc w:val="center"/>
        <w:rPr>
          <w:rFonts w:ascii="Arial" w:hAnsi="Arial" w:cs="Arial"/>
          <w:b/>
          <w:lang w:val="es-MX"/>
        </w:rPr>
      </w:pPr>
    </w:p>
    <w:p w:rsidR="00182BDF" w:rsidRDefault="00182BDF" w:rsidP="009D0034">
      <w:pPr>
        <w:spacing w:line="360" w:lineRule="auto"/>
        <w:jc w:val="center"/>
        <w:rPr>
          <w:rFonts w:ascii="Arial" w:hAnsi="Arial" w:cs="Arial"/>
          <w:b/>
          <w:lang w:val="es-MX"/>
        </w:rPr>
      </w:pPr>
    </w:p>
    <w:p w:rsidR="009D0034" w:rsidRDefault="009D0034" w:rsidP="009D0034">
      <w:pPr>
        <w:autoSpaceDE w:val="0"/>
        <w:autoSpaceDN w:val="0"/>
        <w:adjustRightInd w:val="0"/>
        <w:spacing w:before="80" w:line="360" w:lineRule="auto"/>
        <w:jc w:val="both"/>
        <w:rPr>
          <w:rFonts w:ascii="Arial" w:hAnsi="Arial" w:cs="Arial"/>
          <w:lang w:eastAsia="es-MX"/>
        </w:rPr>
      </w:pPr>
      <w:r w:rsidRPr="00D40840">
        <w:rPr>
          <w:rFonts w:ascii="Arial" w:hAnsi="Arial" w:cs="Arial"/>
          <w:lang w:eastAsia="es-MX"/>
        </w:rPr>
        <w:t>De conformidad al a</w:t>
      </w:r>
      <w:r w:rsidR="00015B0B">
        <w:rPr>
          <w:rFonts w:ascii="Arial" w:hAnsi="Arial" w:cs="Arial"/>
          <w:lang w:eastAsia="es-MX"/>
        </w:rPr>
        <w:t>rtículo 46, fracción I, inciso g</w:t>
      </w:r>
      <w:r w:rsidRPr="00D40840">
        <w:rPr>
          <w:rFonts w:ascii="Arial" w:hAnsi="Arial" w:cs="Arial"/>
          <w:lang w:eastAsia="es-MX"/>
        </w:rPr>
        <w:t>)</w:t>
      </w:r>
      <w:r w:rsidR="00015B0B">
        <w:rPr>
          <w:rFonts w:ascii="Arial" w:hAnsi="Arial" w:cs="Arial"/>
          <w:lang w:eastAsia="es-MX"/>
        </w:rPr>
        <w:t>, 47</w:t>
      </w:r>
      <w:r w:rsidRPr="00D40840">
        <w:rPr>
          <w:rFonts w:ascii="Arial" w:hAnsi="Arial" w:cs="Arial"/>
          <w:lang w:eastAsia="es-MX"/>
        </w:rPr>
        <w:t xml:space="preserve"> y 49 de la Ley General de Contabilidad Gubernamental, así como a la normatividad emitida por el Consejo Nacional de Armonización Contable, a continuación se presentan las notas a los estados financieros correspondie</w:t>
      </w:r>
      <w:r w:rsidR="00130B4F">
        <w:rPr>
          <w:rFonts w:ascii="Arial" w:hAnsi="Arial" w:cs="Arial"/>
          <w:lang w:eastAsia="es-MX"/>
        </w:rPr>
        <w:t>ntes al ejercicio fiscal de 2017</w:t>
      </w:r>
      <w:r w:rsidRPr="00D40840">
        <w:rPr>
          <w:rFonts w:ascii="Arial" w:hAnsi="Arial" w:cs="Arial"/>
          <w:lang w:eastAsia="es-MX"/>
        </w:rPr>
        <w:t>, con los siguientes apartados:</w:t>
      </w:r>
    </w:p>
    <w:p w:rsidR="009D0034" w:rsidRDefault="009D0034" w:rsidP="009D0034">
      <w:pPr>
        <w:autoSpaceDE w:val="0"/>
        <w:autoSpaceDN w:val="0"/>
        <w:adjustRightInd w:val="0"/>
        <w:spacing w:before="80" w:line="360" w:lineRule="auto"/>
        <w:jc w:val="both"/>
        <w:rPr>
          <w:rFonts w:ascii="Arial" w:hAnsi="Arial" w:cs="Arial"/>
          <w:sz w:val="18"/>
          <w:szCs w:val="18"/>
          <w:lang w:eastAsia="es-MX"/>
        </w:rPr>
      </w:pPr>
    </w:p>
    <w:p w:rsidR="00130B4F" w:rsidRPr="00FB2EBD" w:rsidRDefault="00130B4F" w:rsidP="009D0034">
      <w:pPr>
        <w:autoSpaceDE w:val="0"/>
        <w:autoSpaceDN w:val="0"/>
        <w:adjustRightInd w:val="0"/>
        <w:spacing w:before="80" w:line="360" w:lineRule="auto"/>
        <w:jc w:val="both"/>
        <w:rPr>
          <w:rFonts w:ascii="Arial" w:hAnsi="Arial" w:cs="Arial"/>
          <w:sz w:val="18"/>
          <w:szCs w:val="18"/>
          <w:lang w:eastAsia="es-MX"/>
        </w:rPr>
      </w:pPr>
    </w:p>
    <w:p w:rsidR="009D0034" w:rsidRPr="00D40840" w:rsidRDefault="009D0034" w:rsidP="009D0034">
      <w:pPr>
        <w:numPr>
          <w:ilvl w:val="0"/>
          <w:numId w:val="2"/>
        </w:numPr>
        <w:spacing w:before="80" w:line="360" w:lineRule="auto"/>
        <w:ind w:left="714" w:hanging="357"/>
        <w:contextualSpacing/>
        <w:jc w:val="both"/>
        <w:rPr>
          <w:rFonts w:ascii="Arial" w:hAnsi="Arial" w:cs="Arial"/>
          <w:lang w:eastAsia="es-MX"/>
        </w:rPr>
      </w:pPr>
      <w:r w:rsidRPr="00D40840">
        <w:rPr>
          <w:rFonts w:ascii="Arial" w:hAnsi="Arial" w:cs="Arial"/>
          <w:lang w:eastAsia="es-MX"/>
        </w:rPr>
        <w:t>Notas de Desglose</w:t>
      </w:r>
    </w:p>
    <w:p w:rsidR="009D0034" w:rsidRPr="00D40840" w:rsidRDefault="009D0034" w:rsidP="009D0034">
      <w:pPr>
        <w:numPr>
          <w:ilvl w:val="0"/>
          <w:numId w:val="2"/>
        </w:numPr>
        <w:spacing w:before="80" w:line="360" w:lineRule="auto"/>
        <w:ind w:left="714" w:hanging="357"/>
        <w:contextualSpacing/>
        <w:jc w:val="both"/>
        <w:rPr>
          <w:rFonts w:ascii="Arial" w:hAnsi="Arial" w:cs="Arial"/>
          <w:lang w:eastAsia="es-MX"/>
        </w:rPr>
      </w:pPr>
      <w:r w:rsidRPr="00D40840">
        <w:rPr>
          <w:rFonts w:ascii="Arial" w:hAnsi="Arial" w:cs="Arial"/>
          <w:lang w:eastAsia="es-MX"/>
        </w:rPr>
        <w:t>Notas de Memoria</w:t>
      </w:r>
    </w:p>
    <w:p w:rsidR="009D0034" w:rsidRDefault="009D0034" w:rsidP="009D0034">
      <w:pPr>
        <w:numPr>
          <w:ilvl w:val="0"/>
          <w:numId w:val="2"/>
        </w:numPr>
        <w:spacing w:before="80" w:line="360" w:lineRule="auto"/>
        <w:ind w:left="714" w:hanging="357"/>
        <w:contextualSpacing/>
        <w:jc w:val="both"/>
        <w:rPr>
          <w:rFonts w:ascii="Arial" w:hAnsi="Arial" w:cs="Arial"/>
          <w:lang w:eastAsia="es-MX"/>
        </w:rPr>
      </w:pPr>
      <w:r w:rsidRPr="00D40840">
        <w:rPr>
          <w:rFonts w:ascii="Arial" w:hAnsi="Arial" w:cs="Arial"/>
          <w:lang w:eastAsia="es-MX"/>
        </w:rPr>
        <w:t>Notas de Gestión Administrativa</w:t>
      </w:r>
    </w:p>
    <w:p w:rsidR="009D0034" w:rsidRDefault="009D0034" w:rsidP="009D0034">
      <w:pPr>
        <w:spacing w:before="80" w:line="360" w:lineRule="auto"/>
        <w:contextualSpacing/>
        <w:jc w:val="both"/>
        <w:rPr>
          <w:rFonts w:ascii="Arial" w:hAnsi="Arial" w:cs="Arial"/>
          <w:lang w:eastAsia="es-MX"/>
        </w:rPr>
      </w:pPr>
    </w:p>
    <w:p w:rsidR="009D0034" w:rsidRDefault="009D0034" w:rsidP="009D0034">
      <w:pPr>
        <w:spacing w:before="80" w:line="360" w:lineRule="auto"/>
        <w:contextualSpacing/>
        <w:jc w:val="both"/>
        <w:rPr>
          <w:rFonts w:ascii="Arial" w:hAnsi="Arial" w:cs="Arial"/>
          <w:lang w:eastAsia="es-MX"/>
        </w:rPr>
      </w:pPr>
    </w:p>
    <w:p w:rsidR="009D0034" w:rsidRDefault="009D0034" w:rsidP="009D0034">
      <w:pPr>
        <w:spacing w:before="80" w:line="360" w:lineRule="auto"/>
        <w:contextualSpacing/>
        <w:jc w:val="both"/>
        <w:rPr>
          <w:rFonts w:ascii="Arial" w:hAnsi="Arial" w:cs="Arial"/>
          <w:lang w:eastAsia="es-MX"/>
        </w:rPr>
      </w:pPr>
    </w:p>
    <w:p w:rsidR="009D0034" w:rsidRDefault="009D0034" w:rsidP="009D0034">
      <w:pPr>
        <w:spacing w:before="80" w:line="360" w:lineRule="auto"/>
        <w:contextualSpacing/>
        <w:jc w:val="both"/>
        <w:rPr>
          <w:rFonts w:ascii="Arial" w:hAnsi="Arial" w:cs="Arial"/>
          <w:lang w:eastAsia="es-MX"/>
        </w:rPr>
      </w:pPr>
    </w:p>
    <w:p w:rsidR="009D0034" w:rsidRDefault="009D0034" w:rsidP="009D0034">
      <w:pPr>
        <w:spacing w:before="80" w:line="360" w:lineRule="auto"/>
        <w:contextualSpacing/>
        <w:jc w:val="both"/>
        <w:rPr>
          <w:rFonts w:ascii="Arial" w:hAnsi="Arial" w:cs="Arial"/>
          <w:lang w:eastAsia="es-MX"/>
        </w:rPr>
      </w:pPr>
    </w:p>
    <w:p w:rsidR="009D0034" w:rsidRDefault="009D0034" w:rsidP="009D0034">
      <w:pPr>
        <w:spacing w:before="80" w:line="360" w:lineRule="auto"/>
        <w:contextualSpacing/>
        <w:jc w:val="both"/>
        <w:rPr>
          <w:rFonts w:ascii="Arial" w:hAnsi="Arial" w:cs="Arial"/>
          <w:lang w:eastAsia="es-MX"/>
        </w:rPr>
      </w:pPr>
    </w:p>
    <w:p w:rsidR="009D0034" w:rsidRDefault="009D0034" w:rsidP="009D0034">
      <w:pPr>
        <w:spacing w:before="80" w:line="360" w:lineRule="auto"/>
        <w:contextualSpacing/>
        <w:jc w:val="both"/>
        <w:rPr>
          <w:rFonts w:ascii="Arial" w:hAnsi="Arial" w:cs="Arial"/>
          <w:lang w:eastAsia="es-MX"/>
        </w:rPr>
      </w:pPr>
    </w:p>
    <w:p w:rsidR="009D0034" w:rsidRDefault="009D0034" w:rsidP="009D0034">
      <w:pPr>
        <w:spacing w:before="80" w:line="360" w:lineRule="auto"/>
        <w:contextualSpacing/>
        <w:jc w:val="both"/>
        <w:rPr>
          <w:rFonts w:ascii="Arial" w:hAnsi="Arial" w:cs="Arial"/>
          <w:lang w:eastAsia="es-MX"/>
        </w:rPr>
      </w:pPr>
    </w:p>
    <w:p w:rsidR="009D0034" w:rsidRDefault="00182BDF" w:rsidP="009D0034">
      <w:pPr>
        <w:autoSpaceDE w:val="0"/>
        <w:autoSpaceDN w:val="0"/>
        <w:adjustRightInd w:val="0"/>
        <w:spacing w:before="240" w:after="120" w:line="360" w:lineRule="auto"/>
        <w:jc w:val="center"/>
        <w:rPr>
          <w:rFonts w:ascii="Arial" w:hAnsi="Arial" w:cs="Arial"/>
          <w:b/>
          <w:lang w:eastAsia="es-MX"/>
        </w:rPr>
      </w:pPr>
      <w:r>
        <w:rPr>
          <w:rFonts w:ascii="Arial" w:hAnsi="Arial" w:cs="Arial"/>
          <w:b/>
          <w:lang w:eastAsia="es-MX"/>
        </w:rPr>
        <w:t>N</w:t>
      </w:r>
      <w:r w:rsidR="009D0034" w:rsidRPr="00D40840">
        <w:rPr>
          <w:rFonts w:ascii="Arial" w:hAnsi="Arial" w:cs="Arial"/>
          <w:b/>
          <w:lang w:eastAsia="es-MX"/>
        </w:rPr>
        <w:t>otas de Desglose:</w:t>
      </w:r>
    </w:p>
    <w:p w:rsidR="009D0034" w:rsidRDefault="009D0034" w:rsidP="009D0034">
      <w:pPr>
        <w:autoSpaceDE w:val="0"/>
        <w:autoSpaceDN w:val="0"/>
        <w:adjustRightInd w:val="0"/>
        <w:spacing w:before="240" w:after="120" w:line="360" w:lineRule="auto"/>
        <w:jc w:val="center"/>
        <w:rPr>
          <w:rFonts w:ascii="Arial" w:hAnsi="Arial" w:cs="Arial"/>
          <w:b/>
          <w:lang w:eastAsia="es-MX"/>
        </w:rPr>
      </w:pPr>
      <w:r w:rsidRPr="00D40840">
        <w:rPr>
          <w:rFonts w:ascii="Arial" w:hAnsi="Arial" w:cs="Arial"/>
          <w:b/>
          <w:lang w:eastAsia="es-MX"/>
        </w:rPr>
        <w:t>Notas al Estado de Situación Financiera del Gobierno Estatal</w:t>
      </w:r>
    </w:p>
    <w:p w:rsidR="00130B4F" w:rsidRPr="00D40840" w:rsidRDefault="00130B4F" w:rsidP="009D0034">
      <w:pPr>
        <w:autoSpaceDE w:val="0"/>
        <w:autoSpaceDN w:val="0"/>
        <w:adjustRightInd w:val="0"/>
        <w:spacing w:before="240" w:after="120" w:line="360" w:lineRule="auto"/>
        <w:jc w:val="center"/>
        <w:rPr>
          <w:rFonts w:ascii="Arial" w:hAnsi="Arial" w:cs="Arial"/>
          <w:b/>
          <w:lang w:eastAsia="es-MX"/>
        </w:rPr>
      </w:pPr>
      <w:r>
        <w:rPr>
          <w:rFonts w:ascii="Arial" w:hAnsi="Arial" w:cs="Arial"/>
          <w:b/>
          <w:lang w:eastAsia="es-MX"/>
        </w:rPr>
        <w:t>(</w:t>
      </w:r>
      <w:r w:rsidR="00C00685">
        <w:rPr>
          <w:rFonts w:ascii="Arial" w:hAnsi="Arial" w:cs="Arial"/>
          <w:b/>
          <w:lang w:eastAsia="es-MX"/>
        </w:rPr>
        <w:t>Cifras expresadas en p</w:t>
      </w:r>
      <w:r>
        <w:rPr>
          <w:rFonts w:ascii="Arial" w:hAnsi="Arial" w:cs="Arial"/>
          <w:b/>
          <w:lang w:eastAsia="es-MX"/>
        </w:rPr>
        <w:t>esos)</w:t>
      </w:r>
    </w:p>
    <w:p w:rsidR="009D0034" w:rsidRPr="00D40840" w:rsidRDefault="009D0034" w:rsidP="009D0034">
      <w:pPr>
        <w:autoSpaceDE w:val="0"/>
        <w:autoSpaceDN w:val="0"/>
        <w:adjustRightInd w:val="0"/>
        <w:spacing w:before="240" w:after="120" w:line="360" w:lineRule="auto"/>
        <w:jc w:val="both"/>
        <w:rPr>
          <w:rFonts w:ascii="Arial" w:hAnsi="Arial" w:cs="Arial"/>
          <w:b/>
          <w:lang w:eastAsia="es-MX"/>
        </w:rPr>
      </w:pPr>
      <w:r w:rsidRPr="00D40840">
        <w:rPr>
          <w:rFonts w:ascii="Arial" w:hAnsi="Arial" w:cs="Arial"/>
          <w:b/>
          <w:lang w:eastAsia="es-MX"/>
        </w:rPr>
        <w:t>Activo</w:t>
      </w:r>
    </w:p>
    <w:p w:rsidR="009D0034" w:rsidRDefault="009D0034" w:rsidP="009D0034">
      <w:pPr>
        <w:numPr>
          <w:ilvl w:val="0"/>
          <w:numId w:val="2"/>
        </w:numPr>
        <w:spacing w:before="80" w:line="360" w:lineRule="auto"/>
        <w:ind w:left="714" w:hanging="357"/>
        <w:jc w:val="both"/>
        <w:rPr>
          <w:rFonts w:ascii="Arial" w:hAnsi="Arial" w:cs="Arial"/>
          <w:b/>
          <w:lang w:eastAsia="es-MX"/>
        </w:rPr>
      </w:pPr>
      <w:r w:rsidRPr="00D40840">
        <w:rPr>
          <w:rFonts w:ascii="Arial" w:hAnsi="Arial" w:cs="Arial"/>
          <w:b/>
          <w:lang w:eastAsia="es-MX"/>
        </w:rPr>
        <w:t>Efectivo y Equivalentes</w:t>
      </w:r>
    </w:p>
    <w:p w:rsidR="009D0034" w:rsidRDefault="009D0034" w:rsidP="00130B4F">
      <w:pPr>
        <w:autoSpaceDE w:val="0"/>
        <w:autoSpaceDN w:val="0"/>
        <w:adjustRightInd w:val="0"/>
        <w:spacing w:before="80" w:line="360" w:lineRule="auto"/>
        <w:ind w:left="709" w:firstLine="5"/>
        <w:jc w:val="both"/>
        <w:rPr>
          <w:rFonts w:ascii="Arial" w:hAnsi="Arial" w:cs="Arial"/>
          <w:lang w:eastAsia="es-MX"/>
        </w:rPr>
      </w:pPr>
      <w:r w:rsidRPr="00D40840">
        <w:rPr>
          <w:rFonts w:ascii="Arial" w:hAnsi="Arial" w:cs="Arial"/>
          <w:lang w:eastAsia="es-MX"/>
        </w:rPr>
        <w:t>En este apartado se integran los recursos monetarios que maneja el Gobierno Estatal, en cuentas bancarias tanto en moneda nacional como en moneda extranjera, y en menor medida, aquellos que están en los poderes Ejecutivo, Legislativo y Judicial. A continuación se presenta la integración de este rubro:</w:t>
      </w:r>
    </w:p>
    <w:p w:rsidR="00130B4F" w:rsidRPr="00130B4F" w:rsidRDefault="00130B4F" w:rsidP="00130B4F">
      <w:pPr>
        <w:autoSpaceDE w:val="0"/>
        <w:autoSpaceDN w:val="0"/>
        <w:adjustRightInd w:val="0"/>
        <w:spacing w:before="80" w:line="360" w:lineRule="auto"/>
        <w:ind w:left="709" w:firstLine="5"/>
        <w:jc w:val="both"/>
        <w:rPr>
          <w:rFonts w:ascii="Arial" w:hAnsi="Arial" w:cs="Arial"/>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469"/>
      </w:tblGrid>
      <w:tr w:rsidR="009D0034" w:rsidRPr="00D40840" w:rsidTr="00130B4F">
        <w:trPr>
          <w:trHeight w:val="382"/>
          <w:jc w:val="center"/>
        </w:trPr>
        <w:tc>
          <w:tcPr>
            <w:tcW w:w="3372"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4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6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4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130B4F">
        <w:trPr>
          <w:trHeight w:val="283"/>
          <w:jc w:val="center"/>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Ejecutivo</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C426B8" w:rsidP="000174D5">
            <w:pPr>
              <w:autoSpaceDE w:val="0"/>
              <w:autoSpaceDN w:val="0"/>
              <w:adjustRightInd w:val="0"/>
              <w:spacing w:before="40"/>
              <w:jc w:val="right"/>
              <w:rPr>
                <w:rFonts w:ascii="Arial" w:hAnsi="Arial" w:cs="Arial"/>
                <w:lang w:eastAsia="es-MX"/>
              </w:rPr>
            </w:pPr>
            <w:r>
              <w:rPr>
                <w:rFonts w:ascii="Arial" w:hAnsi="Arial" w:cs="Arial"/>
                <w:lang w:eastAsia="es-MX"/>
              </w:rPr>
              <w:t>3,138’649,646</w:t>
            </w:r>
          </w:p>
        </w:tc>
      </w:tr>
      <w:tr w:rsidR="009D0034" w:rsidRPr="00D40840" w:rsidTr="00130B4F">
        <w:trPr>
          <w:trHeight w:val="382"/>
          <w:jc w:val="center"/>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Legislativo</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C426B8" w:rsidP="00C426B8">
            <w:pPr>
              <w:autoSpaceDE w:val="0"/>
              <w:autoSpaceDN w:val="0"/>
              <w:adjustRightInd w:val="0"/>
              <w:spacing w:before="40"/>
              <w:jc w:val="right"/>
              <w:rPr>
                <w:rFonts w:ascii="Arial" w:hAnsi="Arial" w:cs="Arial"/>
                <w:lang w:eastAsia="es-MX"/>
              </w:rPr>
            </w:pPr>
            <w:r>
              <w:rPr>
                <w:rFonts w:ascii="Arial" w:hAnsi="Arial" w:cs="Arial"/>
                <w:lang w:eastAsia="es-MX"/>
              </w:rPr>
              <w:t>35</w:t>
            </w:r>
            <w:r w:rsidR="009D0034">
              <w:rPr>
                <w:rFonts w:ascii="Arial" w:hAnsi="Arial" w:cs="Arial"/>
                <w:lang w:eastAsia="es-MX"/>
              </w:rPr>
              <w:t>’</w:t>
            </w:r>
            <w:r>
              <w:rPr>
                <w:rFonts w:ascii="Arial" w:hAnsi="Arial" w:cs="Arial"/>
                <w:lang w:eastAsia="es-MX"/>
              </w:rPr>
              <w:t>692</w:t>
            </w:r>
            <w:r w:rsidR="009D0034">
              <w:rPr>
                <w:rFonts w:ascii="Arial" w:hAnsi="Arial" w:cs="Arial"/>
                <w:lang w:eastAsia="es-MX"/>
              </w:rPr>
              <w:t>,</w:t>
            </w:r>
            <w:r>
              <w:rPr>
                <w:rFonts w:ascii="Arial" w:hAnsi="Arial" w:cs="Arial"/>
                <w:lang w:eastAsia="es-MX"/>
              </w:rPr>
              <w:t>305</w:t>
            </w:r>
          </w:p>
        </w:tc>
      </w:tr>
      <w:tr w:rsidR="009D0034" w:rsidRPr="00D40840" w:rsidTr="00130B4F">
        <w:trPr>
          <w:trHeight w:val="67"/>
          <w:jc w:val="center"/>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Judicial</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C426B8" w:rsidP="00C426B8">
            <w:pPr>
              <w:autoSpaceDE w:val="0"/>
              <w:autoSpaceDN w:val="0"/>
              <w:adjustRightInd w:val="0"/>
              <w:spacing w:before="40"/>
              <w:jc w:val="right"/>
              <w:rPr>
                <w:rFonts w:ascii="Arial" w:hAnsi="Arial" w:cs="Arial"/>
                <w:lang w:eastAsia="es-MX"/>
              </w:rPr>
            </w:pPr>
            <w:r>
              <w:rPr>
                <w:rFonts w:ascii="Arial" w:hAnsi="Arial" w:cs="Arial"/>
                <w:lang w:eastAsia="es-MX"/>
              </w:rPr>
              <w:t>403</w:t>
            </w:r>
            <w:r w:rsidR="009D0034">
              <w:rPr>
                <w:rFonts w:ascii="Arial" w:hAnsi="Arial" w:cs="Arial"/>
                <w:lang w:eastAsia="es-MX"/>
              </w:rPr>
              <w:t>’</w:t>
            </w:r>
            <w:r>
              <w:rPr>
                <w:rFonts w:ascii="Arial" w:hAnsi="Arial" w:cs="Arial"/>
                <w:lang w:eastAsia="es-MX"/>
              </w:rPr>
              <w:t>821</w:t>
            </w:r>
            <w:r w:rsidR="009D0034">
              <w:rPr>
                <w:rFonts w:ascii="Arial" w:hAnsi="Arial" w:cs="Arial"/>
                <w:lang w:eastAsia="es-MX"/>
              </w:rPr>
              <w:t>,</w:t>
            </w:r>
            <w:r w:rsidR="001A486A">
              <w:rPr>
                <w:rFonts w:ascii="Arial" w:hAnsi="Arial" w:cs="Arial"/>
                <w:lang w:eastAsia="es-MX"/>
              </w:rPr>
              <w:t>135</w:t>
            </w:r>
          </w:p>
        </w:tc>
      </w:tr>
      <w:tr w:rsidR="00130B4F" w:rsidRPr="00D40840" w:rsidTr="00130B4F">
        <w:trPr>
          <w:trHeight w:val="67"/>
          <w:jc w:val="center"/>
        </w:trPr>
        <w:tc>
          <w:tcPr>
            <w:tcW w:w="3372"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130B4F">
            <w:pPr>
              <w:autoSpaceDE w:val="0"/>
              <w:autoSpaceDN w:val="0"/>
              <w:adjustRightInd w:val="0"/>
              <w:spacing w:before="40"/>
              <w:rPr>
                <w:rFonts w:ascii="Arial" w:hAnsi="Arial" w:cs="Arial"/>
                <w:lang w:eastAsia="es-MX"/>
              </w:rPr>
            </w:pPr>
            <w:r>
              <w:rPr>
                <w:rFonts w:ascii="Arial" w:hAnsi="Arial" w:cs="Arial"/>
                <w:lang w:eastAsia="es-MX"/>
              </w:rPr>
              <w:t>Órganos Autónomos</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130B4F"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77’562,557</w:t>
            </w:r>
          </w:p>
        </w:tc>
      </w:tr>
      <w:tr w:rsidR="009D0034" w:rsidRPr="00D40840" w:rsidTr="00130B4F">
        <w:trPr>
          <w:trHeight w:val="67"/>
          <w:jc w:val="center"/>
        </w:trPr>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Suma</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3,655’725,643</w:t>
            </w:r>
          </w:p>
        </w:tc>
      </w:tr>
    </w:tbl>
    <w:p w:rsidR="009D0034" w:rsidRDefault="009D0034" w:rsidP="009D0034">
      <w:pPr>
        <w:spacing w:before="80" w:line="276" w:lineRule="auto"/>
        <w:ind w:left="714"/>
        <w:jc w:val="both"/>
        <w:rPr>
          <w:rFonts w:ascii="Arial" w:hAnsi="Arial" w:cs="Arial"/>
          <w:b/>
          <w:lang w:eastAsia="es-MX"/>
        </w:rPr>
      </w:pPr>
    </w:p>
    <w:p w:rsidR="009D0034" w:rsidRDefault="009D0034" w:rsidP="009D0034">
      <w:pPr>
        <w:spacing w:before="80" w:line="276" w:lineRule="auto"/>
        <w:ind w:left="714"/>
        <w:jc w:val="both"/>
        <w:rPr>
          <w:rFonts w:ascii="Arial" w:hAnsi="Arial" w:cs="Arial"/>
          <w:b/>
          <w:lang w:eastAsia="es-MX"/>
        </w:rPr>
      </w:pPr>
    </w:p>
    <w:p w:rsidR="00130B4F" w:rsidRDefault="00130B4F" w:rsidP="00130B4F">
      <w:pPr>
        <w:spacing w:before="80" w:line="276" w:lineRule="auto"/>
        <w:jc w:val="both"/>
        <w:rPr>
          <w:rFonts w:ascii="Arial" w:hAnsi="Arial" w:cs="Arial"/>
          <w:b/>
          <w:lang w:eastAsia="es-MX"/>
        </w:rPr>
      </w:pPr>
    </w:p>
    <w:p w:rsidR="009D0034" w:rsidRPr="00D40840" w:rsidRDefault="009D0034" w:rsidP="009D0034">
      <w:pPr>
        <w:numPr>
          <w:ilvl w:val="0"/>
          <w:numId w:val="2"/>
        </w:numPr>
        <w:spacing w:before="80" w:line="360" w:lineRule="auto"/>
        <w:ind w:left="714" w:hanging="357"/>
        <w:jc w:val="both"/>
        <w:rPr>
          <w:rFonts w:ascii="Arial" w:hAnsi="Arial" w:cs="Arial"/>
          <w:b/>
          <w:lang w:eastAsia="es-MX"/>
        </w:rPr>
      </w:pPr>
      <w:r w:rsidRPr="00D40840">
        <w:rPr>
          <w:rFonts w:ascii="Arial" w:hAnsi="Arial" w:cs="Arial"/>
          <w:b/>
          <w:lang w:eastAsia="es-MX"/>
        </w:rPr>
        <w:lastRenderedPageBreak/>
        <w:t>Derechos a recibir Efectivo o Equivalentes</w:t>
      </w:r>
    </w:p>
    <w:p w:rsidR="009D0034" w:rsidRDefault="009D0034" w:rsidP="00130B4F">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Corresponde integrar en este rubro los saldos que representan cuentas por cobrar y deudores diversos por cobrar a corto plazo, deudores por anticipos de la Tesorería a corto plazo, préstamos otorgados a corto plazo, otros derechos a recibir efectivo o equivalentes a corto plazo. A continuación se presenta la integración de este rubro:</w:t>
      </w:r>
    </w:p>
    <w:p w:rsidR="00130B4F" w:rsidRPr="00130B4F" w:rsidRDefault="00130B4F" w:rsidP="00130B4F">
      <w:pPr>
        <w:autoSpaceDE w:val="0"/>
        <w:autoSpaceDN w:val="0"/>
        <w:adjustRightInd w:val="0"/>
        <w:spacing w:before="80" w:line="360" w:lineRule="auto"/>
        <w:ind w:left="709"/>
        <w:jc w:val="both"/>
        <w:rPr>
          <w:rFonts w:ascii="Arial" w:hAnsi="Arial" w:cs="Arial"/>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194CD2"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4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4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746’385,614</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2’925,211</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224’315,869</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130B4F">
            <w:pPr>
              <w:autoSpaceDE w:val="0"/>
              <w:autoSpaceDN w:val="0"/>
              <w:adjustRightInd w:val="0"/>
              <w:spacing w:before="4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3’111,969</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976’738,663</w:t>
            </w:r>
          </w:p>
        </w:tc>
      </w:tr>
    </w:tbl>
    <w:p w:rsidR="009D0034" w:rsidRDefault="009D0034" w:rsidP="00AB547B">
      <w:pPr>
        <w:autoSpaceDE w:val="0"/>
        <w:autoSpaceDN w:val="0"/>
        <w:adjustRightInd w:val="0"/>
        <w:spacing w:before="240" w:after="120"/>
        <w:rPr>
          <w:rFonts w:ascii="Arial" w:eastAsia="Calibri" w:hAnsi="Arial" w:cs="Arial"/>
          <w:spacing w:val="-1"/>
          <w:lang w:eastAsia="es-MX"/>
        </w:rPr>
      </w:pPr>
    </w:p>
    <w:p w:rsidR="009D0034" w:rsidRPr="00D40840" w:rsidRDefault="009D0034" w:rsidP="009D0034">
      <w:pPr>
        <w:numPr>
          <w:ilvl w:val="0"/>
          <w:numId w:val="2"/>
        </w:numPr>
        <w:spacing w:before="80" w:line="360" w:lineRule="auto"/>
        <w:ind w:left="714" w:hanging="357"/>
        <w:jc w:val="both"/>
        <w:rPr>
          <w:rFonts w:ascii="Arial" w:hAnsi="Arial" w:cs="Arial"/>
          <w:b/>
          <w:lang w:eastAsia="es-MX"/>
        </w:rPr>
      </w:pPr>
      <w:r w:rsidRPr="00D40840">
        <w:rPr>
          <w:rFonts w:ascii="Arial" w:hAnsi="Arial" w:cs="Arial"/>
          <w:b/>
          <w:lang w:eastAsia="es-MX"/>
        </w:rPr>
        <w:t xml:space="preserve">Derechos a recibir </w:t>
      </w:r>
      <w:r>
        <w:rPr>
          <w:rFonts w:ascii="Arial" w:hAnsi="Arial" w:cs="Arial"/>
          <w:b/>
          <w:lang w:eastAsia="es-MX"/>
        </w:rPr>
        <w:t>Bienes o Servicios</w:t>
      </w:r>
    </w:p>
    <w:p w:rsidR="009D0034" w:rsidRPr="00AB547B" w:rsidRDefault="009D0034" w:rsidP="00AB547B">
      <w:pPr>
        <w:autoSpaceDE w:val="0"/>
        <w:autoSpaceDN w:val="0"/>
        <w:adjustRightInd w:val="0"/>
        <w:spacing w:before="240" w:after="120" w:line="360" w:lineRule="auto"/>
        <w:ind w:left="709"/>
        <w:jc w:val="both"/>
        <w:rPr>
          <w:rFonts w:ascii="Arial" w:hAnsi="Arial" w:cs="Arial"/>
          <w:lang w:eastAsia="es-MX"/>
        </w:rPr>
      </w:pPr>
      <w:r w:rsidRPr="00F85BDE">
        <w:rPr>
          <w:rFonts w:ascii="Arial" w:hAnsi="Arial" w:cs="Arial"/>
          <w:lang w:eastAsia="es-MX"/>
        </w:rPr>
        <w:t>Representa los anticipos entregados previos a la recepción parcial o total de bienes o pre</w:t>
      </w:r>
      <w:r>
        <w:rPr>
          <w:rFonts w:ascii="Arial" w:hAnsi="Arial" w:cs="Arial"/>
          <w:lang w:eastAsia="es-MX"/>
        </w:rPr>
        <w:t>stación de servicios, que serán e</w:t>
      </w:r>
      <w:r w:rsidRPr="00F85BDE">
        <w:rPr>
          <w:rFonts w:ascii="Arial" w:hAnsi="Arial" w:cs="Arial"/>
          <w:lang w:eastAsia="es-MX"/>
        </w:rPr>
        <w:t>xigibles en un plazo menor o igual a doce meses</w:t>
      </w:r>
      <w:r>
        <w:rPr>
          <w:rFonts w:ascii="Arial" w:hAnsi="Arial" w:cs="Arial"/>
          <w:lang w:eastAsia="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194CD2"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4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4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2’693,651</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1’842,690</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0</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Default="00130B4F" w:rsidP="00130B4F">
            <w:pPr>
              <w:autoSpaceDE w:val="0"/>
              <w:autoSpaceDN w:val="0"/>
              <w:adjustRightInd w:val="0"/>
              <w:spacing w:before="4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751,908</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right"/>
              <w:rPr>
                <w:rFonts w:ascii="Arial" w:hAnsi="Arial" w:cs="Arial"/>
                <w:lang w:eastAsia="es-MX"/>
              </w:rPr>
            </w:pPr>
            <w:r>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5‘288,249</w:t>
            </w:r>
          </w:p>
        </w:tc>
      </w:tr>
    </w:tbl>
    <w:p w:rsidR="009D0034" w:rsidRDefault="009D0034" w:rsidP="001E4F5F">
      <w:pPr>
        <w:spacing w:line="360" w:lineRule="auto"/>
        <w:jc w:val="center"/>
        <w:rPr>
          <w:rFonts w:ascii="Arial" w:hAnsi="Arial" w:cs="Arial"/>
          <w:b/>
          <w:lang w:val="es-MX"/>
        </w:rPr>
      </w:pPr>
    </w:p>
    <w:p w:rsidR="009D0034" w:rsidRPr="00D40840" w:rsidRDefault="009D0034" w:rsidP="009D0034">
      <w:pPr>
        <w:numPr>
          <w:ilvl w:val="0"/>
          <w:numId w:val="2"/>
        </w:numPr>
        <w:spacing w:before="80" w:line="276" w:lineRule="auto"/>
        <w:ind w:left="714" w:hanging="357"/>
        <w:jc w:val="both"/>
        <w:rPr>
          <w:rFonts w:ascii="Arial" w:hAnsi="Arial" w:cs="Arial"/>
          <w:b/>
          <w:lang w:eastAsia="es-MX"/>
        </w:rPr>
      </w:pPr>
      <w:r>
        <w:rPr>
          <w:rFonts w:ascii="Arial" w:hAnsi="Arial" w:cs="Arial"/>
          <w:b/>
          <w:lang w:eastAsia="es-MX"/>
        </w:rPr>
        <w:lastRenderedPageBreak/>
        <w:t>Inventarios</w:t>
      </w:r>
    </w:p>
    <w:p w:rsidR="009D0034" w:rsidRPr="00130B4F" w:rsidRDefault="009D0034" w:rsidP="00130B4F">
      <w:pPr>
        <w:autoSpaceDE w:val="0"/>
        <w:autoSpaceDN w:val="0"/>
        <w:adjustRightInd w:val="0"/>
        <w:spacing w:before="80" w:line="360" w:lineRule="auto"/>
        <w:ind w:left="709"/>
        <w:jc w:val="both"/>
        <w:rPr>
          <w:rFonts w:ascii="Arial" w:hAnsi="Arial" w:cs="Arial"/>
          <w:lang w:eastAsia="es-MX"/>
        </w:rPr>
      </w:pPr>
      <w:r w:rsidRPr="00AF7DBE">
        <w:rPr>
          <w:rFonts w:ascii="Arial" w:hAnsi="Arial" w:cs="Arial"/>
          <w:lang w:eastAsia="es-MX"/>
        </w:rPr>
        <w:t xml:space="preserve">Representa el valor de los bienes </w:t>
      </w:r>
      <w:r>
        <w:rPr>
          <w:rFonts w:ascii="Arial" w:hAnsi="Arial" w:cs="Arial"/>
          <w:lang w:eastAsia="es-MX"/>
        </w:rPr>
        <w:t xml:space="preserve">que son </w:t>
      </w:r>
      <w:r w:rsidRPr="00AF7DBE">
        <w:rPr>
          <w:rFonts w:ascii="Arial" w:hAnsi="Arial" w:cs="Arial"/>
          <w:lang w:eastAsia="es-MX"/>
        </w:rPr>
        <w:t>destinados a la producción o su utilización. A continuación se presenta la integración de este rubro: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4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4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10’728,832</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0</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0</w:t>
            </w:r>
          </w:p>
        </w:tc>
      </w:tr>
      <w:tr w:rsidR="00130B4F"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0174D5">
            <w:pPr>
              <w:autoSpaceDE w:val="0"/>
              <w:autoSpaceDN w:val="0"/>
              <w:adjustRightInd w:val="0"/>
              <w:spacing w:before="40"/>
              <w:jc w:val="both"/>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A486A" w:rsidP="000174D5">
            <w:pPr>
              <w:autoSpaceDE w:val="0"/>
              <w:autoSpaceDN w:val="0"/>
              <w:adjustRightInd w:val="0"/>
              <w:spacing w:before="40"/>
              <w:jc w:val="right"/>
              <w:rPr>
                <w:rFonts w:ascii="Arial" w:hAnsi="Arial" w:cs="Arial"/>
                <w:lang w:eastAsia="es-MX"/>
              </w:rPr>
            </w:pPr>
            <w:r>
              <w:rPr>
                <w:rFonts w:ascii="Arial" w:hAnsi="Arial" w:cs="Arial"/>
                <w:lang w:eastAsia="es-MX"/>
              </w:rPr>
              <w:t>0</w:t>
            </w:r>
          </w:p>
        </w:tc>
      </w:tr>
      <w:tr w:rsidR="00130B4F"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0174D5">
            <w:pPr>
              <w:autoSpaceDE w:val="0"/>
              <w:autoSpaceDN w:val="0"/>
              <w:adjustRightInd w:val="0"/>
              <w:spacing w:before="40"/>
              <w:jc w:val="both"/>
              <w:rPr>
                <w:rFonts w:ascii="Arial" w:hAnsi="Arial" w:cs="Arial"/>
                <w:lang w:eastAsia="es-MX"/>
              </w:rPr>
            </w:pPr>
            <w:r>
              <w:rPr>
                <w:rFonts w:ascii="Arial" w:hAnsi="Arial" w:cs="Arial"/>
                <w:lang w:eastAsia="es-MX"/>
              </w:rPr>
              <w:t xml:space="preserve">                                 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10’728,832</w:t>
            </w:r>
          </w:p>
        </w:tc>
      </w:tr>
    </w:tbl>
    <w:p w:rsidR="009D0034" w:rsidRPr="00F85BDE" w:rsidRDefault="009D0034" w:rsidP="009D0034">
      <w:pPr>
        <w:autoSpaceDE w:val="0"/>
        <w:autoSpaceDN w:val="0"/>
        <w:adjustRightInd w:val="0"/>
        <w:spacing w:before="240" w:after="120"/>
        <w:jc w:val="both"/>
        <w:rPr>
          <w:rFonts w:ascii="Arial" w:hAnsi="Arial" w:cs="Arial"/>
          <w:lang w:eastAsia="es-MX"/>
        </w:rPr>
      </w:pPr>
    </w:p>
    <w:p w:rsidR="009D0034" w:rsidRPr="00D40840" w:rsidRDefault="009D0034" w:rsidP="009D0034">
      <w:pPr>
        <w:spacing w:before="120" w:after="240" w:line="240" w:lineRule="exact"/>
        <w:ind w:left="714"/>
        <w:contextualSpacing/>
        <w:jc w:val="both"/>
        <w:rPr>
          <w:rFonts w:ascii="Arial" w:eastAsia="Calibri" w:hAnsi="Arial" w:cs="Arial"/>
          <w:spacing w:val="-1"/>
          <w:lang w:eastAsia="es-MX"/>
        </w:rPr>
      </w:pPr>
    </w:p>
    <w:p w:rsidR="009D0034" w:rsidRPr="00D40840" w:rsidRDefault="009D0034" w:rsidP="009D0034">
      <w:pPr>
        <w:numPr>
          <w:ilvl w:val="0"/>
          <w:numId w:val="2"/>
        </w:numPr>
        <w:spacing w:before="80" w:line="276" w:lineRule="auto"/>
        <w:ind w:left="714" w:hanging="357"/>
        <w:jc w:val="both"/>
        <w:rPr>
          <w:rFonts w:ascii="Arial" w:hAnsi="Arial" w:cs="Arial"/>
          <w:b/>
          <w:lang w:eastAsia="es-MX"/>
        </w:rPr>
      </w:pPr>
      <w:r w:rsidRPr="00D40840">
        <w:rPr>
          <w:rFonts w:ascii="Arial" w:hAnsi="Arial" w:cs="Arial"/>
          <w:b/>
          <w:lang w:eastAsia="es-MX"/>
        </w:rPr>
        <w:t>Inversiones Financieras</w:t>
      </w:r>
    </w:p>
    <w:p w:rsidR="009D0034" w:rsidRPr="00D40840" w:rsidRDefault="009D0034" w:rsidP="009D0034">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El Gobierno Estatal posee activos financieros representados por inversiones en empresas de participación estatal,  destinados a apoyar actividades productivas. A continuación se presenta la integración de este rubro:</w:t>
      </w:r>
    </w:p>
    <w:p w:rsidR="009D0034" w:rsidRPr="00D40840" w:rsidRDefault="009D0034" w:rsidP="00130B4F">
      <w:pPr>
        <w:autoSpaceDE w:val="0"/>
        <w:autoSpaceDN w:val="0"/>
        <w:adjustRightInd w:val="0"/>
        <w:spacing w:before="240" w:after="120"/>
        <w:rPr>
          <w:rFonts w:ascii="Arial" w:hAnsi="Arial" w:cs="Arial"/>
          <w:b/>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4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4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747’246,902</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0</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0</w:t>
            </w:r>
          </w:p>
        </w:tc>
      </w:tr>
      <w:tr w:rsidR="00130B4F"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0174D5">
            <w:pPr>
              <w:autoSpaceDE w:val="0"/>
              <w:autoSpaceDN w:val="0"/>
              <w:adjustRightInd w:val="0"/>
              <w:spacing w:before="40"/>
              <w:jc w:val="both"/>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0</w:t>
            </w:r>
          </w:p>
        </w:tc>
      </w:tr>
      <w:tr w:rsidR="00130B4F"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0174D5">
            <w:pPr>
              <w:autoSpaceDE w:val="0"/>
              <w:autoSpaceDN w:val="0"/>
              <w:adjustRightInd w:val="0"/>
              <w:spacing w:before="40"/>
              <w:jc w:val="both"/>
              <w:rPr>
                <w:rFonts w:ascii="Arial" w:hAnsi="Arial" w:cs="Arial"/>
                <w:lang w:eastAsia="es-MX"/>
              </w:rPr>
            </w:pPr>
            <w:r>
              <w:rPr>
                <w:rFonts w:ascii="Arial" w:hAnsi="Arial" w:cs="Arial"/>
                <w:lang w:eastAsia="es-MX"/>
              </w:rPr>
              <w:t xml:space="preserve">                                 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747’246,902</w:t>
            </w:r>
          </w:p>
        </w:tc>
      </w:tr>
    </w:tbl>
    <w:p w:rsidR="009D0034" w:rsidRDefault="009D0034" w:rsidP="001E4F5F">
      <w:pPr>
        <w:spacing w:line="360" w:lineRule="auto"/>
        <w:jc w:val="center"/>
        <w:rPr>
          <w:rFonts w:ascii="Arial" w:hAnsi="Arial" w:cs="Arial"/>
          <w:b/>
          <w:lang w:val="es-MX"/>
        </w:rPr>
      </w:pPr>
    </w:p>
    <w:p w:rsidR="00AB547B" w:rsidRDefault="00AB547B" w:rsidP="001E4F5F">
      <w:pPr>
        <w:spacing w:line="360" w:lineRule="auto"/>
        <w:jc w:val="center"/>
        <w:rPr>
          <w:rFonts w:ascii="Arial" w:hAnsi="Arial" w:cs="Arial"/>
          <w:b/>
          <w:lang w:val="es-MX"/>
        </w:rPr>
      </w:pPr>
    </w:p>
    <w:p w:rsidR="009D0034" w:rsidRPr="00D40840" w:rsidRDefault="009D0034" w:rsidP="009D0034">
      <w:pPr>
        <w:numPr>
          <w:ilvl w:val="0"/>
          <w:numId w:val="2"/>
        </w:numPr>
        <w:spacing w:before="80" w:line="276" w:lineRule="auto"/>
        <w:ind w:left="714" w:hanging="357"/>
        <w:jc w:val="both"/>
        <w:rPr>
          <w:rFonts w:ascii="Arial" w:hAnsi="Arial" w:cs="Arial"/>
          <w:b/>
          <w:lang w:eastAsia="es-MX"/>
        </w:rPr>
      </w:pPr>
      <w:r w:rsidRPr="00D40840">
        <w:rPr>
          <w:rFonts w:ascii="Arial" w:hAnsi="Arial" w:cs="Arial"/>
          <w:b/>
          <w:lang w:eastAsia="es-MX"/>
        </w:rPr>
        <w:lastRenderedPageBreak/>
        <w:t>Bienes Muebles, Inmuebles</w:t>
      </w:r>
      <w:r>
        <w:rPr>
          <w:rFonts w:ascii="Arial" w:hAnsi="Arial" w:cs="Arial"/>
          <w:b/>
          <w:lang w:eastAsia="es-MX"/>
        </w:rPr>
        <w:t>,</w:t>
      </w:r>
      <w:r w:rsidRPr="00D40840">
        <w:rPr>
          <w:rFonts w:ascii="Arial" w:hAnsi="Arial" w:cs="Arial"/>
          <w:b/>
          <w:lang w:eastAsia="es-MX"/>
        </w:rPr>
        <w:t xml:space="preserve"> Infraestructura y Construcciones en Proceso e Intangibles</w:t>
      </w:r>
    </w:p>
    <w:p w:rsidR="009D0034" w:rsidRPr="00D40840" w:rsidRDefault="009D0034" w:rsidP="009D0034">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Se conforma por los bienes tangibles e intangibles necesarios para llevar a cabo las actividades de gobierno y las obras en proceso que se realizan en los diferentes inmuebles.</w:t>
      </w:r>
    </w:p>
    <w:p w:rsidR="009D0034" w:rsidRPr="00D40840" w:rsidRDefault="009D0034" w:rsidP="009D0034">
      <w:pPr>
        <w:autoSpaceDE w:val="0"/>
        <w:autoSpaceDN w:val="0"/>
        <w:adjustRightInd w:val="0"/>
        <w:spacing w:before="80" w:line="360" w:lineRule="auto"/>
        <w:ind w:left="709"/>
        <w:jc w:val="both"/>
        <w:rPr>
          <w:rFonts w:ascii="Arial" w:hAnsi="Arial" w:cs="Arial"/>
          <w:lang w:eastAsia="es-MX"/>
        </w:rPr>
      </w:pPr>
      <w:r>
        <w:rPr>
          <w:rFonts w:ascii="Arial" w:hAnsi="Arial" w:cs="Arial"/>
          <w:lang w:eastAsia="es-MX"/>
        </w:rPr>
        <w:t>I</w:t>
      </w:r>
      <w:r w:rsidRPr="00D40840">
        <w:rPr>
          <w:rFonts w:ascii="Arial" w:hAnsi="Arial" w:cs="Arial"/>
          <w:lang w:eastAsia="es-MX"/>
        </w:rPr>
        <w:t>ntegración de los bienes inmuebles</w:t>
      </w:r>
      <w:r>
        <w:rPr>
          <w:rFonts w:ascii="Arial" w:hAnsi="Arial" w:cs="Arial"/>
          <w:lang w:eastAsia="es-MX"/>
        </w:rPr>
        <w:t>,</w:t>
      </w:r>
      <w:r w:rsidRPr="00D40840">
        <w:rPr>
          <w:rFonts w:ascii="Arial" w:hAnsi="Arial" w:cs="Arial"/>
          <w:lang w:eastAsia="es-MX"/>
        </w:rPr>
        <w:t xml:space="preserve"> infraestructura y construcciones en pr</w:t>
      </w:r>
      <w:r>
        <w:rPr>
          <w:rFonts w:ascii="Arial" w:hAnsi="Arial" w:cs="Arial"/>
          <w:lang w:eastAsia="es-MX"/>
        </w:rPr>
        <w:t>oceso</w:t>
      </w:r>
      <w:r w:rsidRPr="00D40840">
        <w:rPr>
          <w:rFonts w:ascii="Arial" w:hAnsi="Arial" w:cs="Arial"/>
          <w:lang w:eastAsia="es-MX"/>
        </w:rPr>
        <w:t>:</w:t>
      </w:r>
    </w:p>
    <w:p w:rsidR="009D0034" w:rsidRPr="00D40840" w:rsidRDefault="009D0034" w:rsidP="009D0034">
      <w:pPr>
        <w:autoSpaceDE w:val="0"/>
        <w:autoSpaceDN w:val="0"/>
        <w:adjustRightInd w:val="0"/>
        <w:spacing w:before="240" w:after="120"/>
        <w:jc w:val="center"/>
        <w:rPr>
          <w:rFonts w:ascii="Arial" w:hAnsi="Arial" w:cs="Arial"/>
          <w:b/>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4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4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FD1B26">
            <w:pPr>
              <w:autoSpaceDE w:val="0"/>
              <w:autoSpaceDN w:val="0"/>
              <w:adjustRightInd w:val="0"/>
              <w:spacing w:before="40"/>
              <w:jc w:val="right"/>
              <w:rPr>
                <w:rFonts w:ascii="Arial" w:hAnsi="Arial" w:cs="Arial"/>
                <w:lang w:eastAsia="es-MX"/>
              </w:rPr>
            </w:pPr>
            <w:r>
              <w:rPr>
                <w:rFonts w:ascii="Arial" w:hAnsi="Arial" w:cs="Arial"/>
                <w:lang w:eastAsia="es-MX"/>
              </w:rPr>
              <w:t>18</w:t>
            </w:r>
            <w:r w:rsidR="009D0034">
              <w:rPr>
                <w:rFonts w:ascii="Arial" w:hAnsi="Arial" w:cs="Arial"/>
                <w:lang w:eastAsia="es-MX"/>
              </w:rPr>
              <w:t>,</w:t>
            </w:r>
            <w:r>
              <w:rPr>
                <w:rFonts w:ascii="Arial" w:hAnsi="Arial" w:cs="Arial"/>
                <w:lang w:eastAsia="es-MX"/>
              </w:rPr>
              <w:t>390</w:t>
            </w:r>
            <w:r w:rsidR="009D0034">
              <w:rPr>
                <w:rFonts w:ascii="Arial" w:hAnsi="Arial" w:cs="Arial"/>
                <w:lang w:eastAsia="es-MX"/>
              </w:rPr>
              <w:t>’</w:t>
            </w:r>
            <w:r>
              <w:rPr>
                <w:rFonts w:ascii="Arial" w:hAnsi="Arial" w:cs="Arial"/>
                <w:lang w:eastAsia="es-MX"/>
              </w:rPr>
              <w:t>545</w:t>
            </w:r>
            <w:r w:rsidR="009D0034" w:rsidRPr="00D40840">
              <w:rPr>
                <w:rFonts w:ascii="Arial" w:hAnsi="Arial" w:cs="Arial"/>
                <w:lang w:eastAsia="es-MX"/>
              </w:rPr>
              <w:t>,</w:t>
            </w:r>
            <w:r>
              <w:rPr>
                <w:rFonts w:ascii="Arial" w:hAnsi="Arial" w:cs="Arial"/>
                <w:lang w:eastAsia="es-MX"/>
              </w:rPr>
              <w:t>530</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right"/>
              <w:rPr>
                <w:rFonts w:ascii="Arial" w:hAnsi="Arial" w:cs="Arial"/>
                <w:lang w:eastAsia="es-MX"/>
              </w:rPr>
            </w:pPr>
            <w:r>
              <w:rPr>
                <w:rFonts w:ascii="Arial" w:hAnsi="Arial" w:cs="Arial"/>
                <w:lang w:eastAsia="es-MX"/>
              </w:rPr>
              <w:t>0</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40"/>
              <w:jc w:val="right"/>
              <w:rPr>
                <w:rFonts w:ascii="Arial" w:hAnsi="Arial" w:cs="Arial"/>
                <w:lang w:eastAsia="es-MX"/>
              </w:rPr>
            </w:pPr>
            <w:r>
              <w:rPr>
                <w:rFonts w:ascii="Arial" w:hAnsi="Arial" w:cs="Arial"/>
                <w:lang w:eastAsia="es-MX"/>
              </w:rPr>
              <w:t>385’866,19</w:t>
            </w:r>
            <w:r w:rsidRPr="00D40840">
              <w:rPr>
                <w:rFonts w:ascii="Arial" w:hAnsi="Arial" w:cs="Arial"/>
                <w:lang w:eastAsia="es-MX"/>
              </w:rPr>
              <w:t>3</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130B4F">
            <w:pPr>
              <w:autoSpaceDE w:val="0"/>
              <w:autoSpaceDN w:val="0"/>
              <w:adjustRightInd w:val="0"/>
              <w:spacing w:before="4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87’462,170</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18,863’873,893</w:t>
            </w:r>
          </w:p>
        </w:tc>
      </w:tr>
    </w:tbl>
    <w:p w:rsidR="009D0034" w:rsidRDefault="009D0034" w:rsidP="009D0034">
      <w:pPr>
        <w:autoSpaceDE w:val="0"/>
        <w:autoSpaceDN w:val="0"/>
        <w:adjustRightInd w:val="0"/>
        <w:spacing w:before="80" w:line="250" w:lineRule="exact"/>
        <w:ind w:left="709"/>
        <w:jc w:val="both"/>
        <w:rPr>
          <w:rFonts w:ascii="Arial" w:hAnsi="Arial" w:cs="Arial"/>
          <w:lang w:eastAsia="es-MX"/>
        </w:rPr>
      </w:pPr>
    </w:p>
    <w:p w:rsidR="009D0034" w:rsidRDefault="009D0034" w:rsidP="009D0034">
      <w:pPr>
        <w:autoSpaceDE w:val="0"/>
        <w:autoSpaceDN w:val="0"/>
        <w:adjustRightInd w:val="0"/>
        <w:spacing w:before="80" w:line="250" w:lineRule="exact"/>
        <w:ind w:left="709"/>
        <w:jc w:val="both"/>
        <w:rPr>
          <w:rFonts w:ascii="Arial" w:hAnsi="Arial" w:cs="Arial"/>
          <w:lang w:eastAsia="es-MX"/>
        </w:rPr>
      </w:pPr>
    </w:p>
    <w:p w:rsidR="009D0034" w:rsidRPr="00D40840" w:rsidRDefault="009D0034" w:rsidP="009D0034">
      <w:pPr>
        <w:autoSpaceDE w:val="0"/>
        <w:autoSpaceDN w:val="0"/>
        <w:adjustRightInd w:val="0"/>
        <w:spacing w:before="80" w:line="250" w:lineRule="exact"/>
        <w:ind w:left="709"/>
        <w:jc w:val="both"/>
        <w:rPr>
          <w:rFonts w:ascii="Arial" w:hAnsi="Arial" w:cs="Arial"/>
          <w:lang w:eastAsia="es-MX"/>
        </w:rPr>
      </w:pPr>
      <w:r>
        <w:rPr>
          <w:rFonts w:ascii="Arial" w:hAnsi="Arial" w:cs="Arial"/>
          <w:lang w:eastAsia="es-MX"/>
        </w:rPr>
        <w:t>I</w:t>
      </w:r>
      <w:r w:rsidRPr="00D40840">
        <w:rPr>
          <w:rFonts w:ascii="Arial" w:hAnsi="Arial" w:cs="Arial"/>
          <w:lang w:eastAsia="es-MX"/>
        </w:rPr>
        <w:t>ntegración de los bienes mu</w:t>
      </w:r>
      <w:r>
        <w:rPr>
          <w:rFonts w:ascii="Arial" w:hAnsi="Arial" w:cs="Arial"/>
          <w:lang w:eastAsia="es-MX"/>
        </w:rPr>
        <w:t>ebles</w:t>
      </w:r>
      <w:r w:rsidRPr="00D40840">
        <w:rPr>
          <w:rFonts w:ascii="Arial" w:hAnsi="Arial" w:cs="Arial"/>
          <w:lang w:eastAsia="es-MX"/>
        </w:rPr>
        <w:t>:</w:t>
      </w:r>
    </w:p>
    <w:p w:rsidR="009D0034" w:rsidRPr="00D40840" w:rsidRDefault="009D0034" w:rsidP="009D0034">
      <w:pPr>
        <w:autoSpaceDE w:val="0"/>
        <w:autoSpaceDN w:val="0"/>
        <w:adjustRightInd w:val="0"/>
        <w:spacing w:before="240" w:after="120"/>
        <w:jc w:val="center"/>
        <w:rPr>
          <w:rFonts w:ascii="Arial" w:hAnsi="Arial" w:cs="Arial"/>
          <w:b/>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4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4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3,683’484,894</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62’890,509</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FD1B26">
            <w:pPr>
              <w:autoSpaceDE w:val="0"/>
              <w:autoSpaceDN w:val="0"/>
              <w:adjustRightInd w:val="0"/>
              <w:spacing w:before="40"/>
              <w:jc w:val="right"/>
              <w:rPr>
                <w:rFonts w:ascii="Arial" w:hAnsi="Arial" w:cs="Arial"/>
                <w:lang w:eastAsia="es-MX"/>
              </w:rPr>
            </w:pPr>
            <w:r>
              <w:rPr>
                <w:rFonts w:ascii="Arial" w:hAnsi="Arial" w:cs="Arial"/>
                <w:lang w:eastAsia="es-MX"/>
              </w:rPr>
              <w:t>280</w:t>
            </w:r>
            <w:r w:rsidR="009D0034">
              <w:rPr>
                <w:rFonts w:ascii="Arial" w:hAnsi="Arial" w:cs="Arial"/>
                <w:lang w:eastAsia="es-MX"/>
              </w:rPr>
              <w:t>’</w:t>
            </w:r>
            <w:r>
              <w:rPr>
                <w:rFonts w:ascii="Arial" w:hAnsi="Arial" w:cs="Arial"/>
                <w:lang w:eastAsia="es-MX"/>
              </w:rPr>
              <w:t>050</w:t>
            </w:r>
            <w:r w:rsidR="009D0034">
              <w:rPr>
                <w:rFonts w:ascii="Arial" w:hAnsi="Arial" w:cs="Arial"/>
                <w:lang w:eastAsia="es-MX"/>
              </w:rPr>
              <w:t>,4</w:t>
            </w:r>
            <w:r>
              <w:rPr>
                <w:rFonts w:ascii="Arial" w:hAnsi="Arial" w:cs="Arial"/>
                <w:lang w:eastAsia="es-MX"/>
              </w:rPr>
              <w:t>20</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130B4F">
            <w:pPr>
              <w:autoSpaceDE w:val="0"/>
              <w:autoSpaceDN w:val="0"/>
              <w:adjustRightInd w:val="0"/>
              <w:spacing w:before="4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82’186,303</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40"/>
              <w:jc w:val="right"/>
              <w:rPr>
                <w:rFonts w:ascii="Arial" w:hAnsi="Arial" w:cs="Arial"/>
                <w:lang w:eastAsia="es-MX"/>
              </w:rPr>
            </w:pPr>
            <w:r w:rsidRPr="00D40840">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0174D5">
            <w:pPr>
              <w:autoSpaceDE w:val="0"/>
              <w:autoSpaceDN w:val="0"/>
              <w:adjustRightInd w:val="0"/>
              <w:spacing w:before="40"/>
              <w:jc w:val="right"/>
              <w:rPr>
                <w:rFonts w:ascii="Arial" w:hAnsi="Arial" w:cs="Arial"/>
                <w:lang w:eastAsia="es-MX"/>
              </w:rPr>
            </w:pPr>
            <w:r>
              <w:rPr>
                <w:rFonts w:ascii="Arial" w:hAnsi="Arial" w:cs="Arial"/>
                <w:lang w:eastAsia="es-MX"/>
              </w:rPr>
              <w:t>4,108’612,126</w:t>
            </w:r>
          </w:p>
        </w:tc>
      </w:tr>
    </w:tbl>
    <w:p w:rsidR="009D0034" w:rsidRDefault="009D0034" w:rsidP="00130B4F">
      <w:pPr>
        <w:spacing w:line="360" w:lineRule="auto"/>
        <w:rPr>
          <w:rFonts w:ascii="Arial" w:hAnsi="Arial" w:cs="Arial"/>
          <w:b/>
          <w:lang w:val="es-MX"/>
        </w:rPr>
      </w:pPr>
    </w:p>
    <w:p w:rsidR="009D0034" w:rsidRDefault="009D0034" w:rsidP="001E4F5F">
      <w:pPr>
        <w:spacing w:line="360" w:lineRule="auto"/>
        <w:jc w:val="center"/>
        <w:rPr>
          <w:rFonts w:ascii="Arial" w:hAnsi="Arial" w:cs="Arial"/>
          <w:b/>
          <w:lang w:val="es-MX"/>
        </w:rPr>
      </w:pPr>
    </w:p>
    <w:p w:rsidR="009D0034" w:rsidRPr="00D40840" w:rsidRDefault="009D0034" w:rsidP="009D0034">
      <w:pPr>
        <w:autoSpaceDE w:val="0"/>
        <w:autoSpaceDN w:val="0"/>
        <w:adjustRightInd w:val="0"/>
        <w:spacing w:before="80" w:line="250" w:lineRule="exact"/>
        <w:ind w:left="709"/>
        <w:jc w:val="both"/>
        <w:rPr>
          <w:rFonts w:ascii="Arial" w:hAnsi="Arial" w:cs="Arial"/>
          <w:lang w:eastAsia="es-MX"/>
        </w:rPr>
      </w:pPr>
      <w:r>
        <w:rPr>
          <w:rFonts w:ascii="Arial" w:hAnsi="Arial" w:cs="Arial"/>
          <w:lang w:eastAsia="es-MX"/>
        </w:rPr>
        <w:lastRenderedPageBreak/>
        <w:t>I</w:t>
      </w:r>
      <w:r w:rsidRPr="00D40840">
        <w:rPr>
          <w:rFonts w:ascii="Arial" w:hAnsi="Arial" w:cs="Arial"/>
          <w:lang w:eastAsia="es-MX"/>
        </w:rPr>
        <w:t>ntegración de</w:t>
      </w:r>
      <w:r>
        <w:rPr>
          <w:rFonts w:ascii="Arial" w:hAnsi="Arial" w:cs="Arial"/>
          <w:lang w:eastAsia="es-MX"/>
        </w:rPr>
        <w:t xml:space="preserve"> los Bienes</w:t>
      </w:r>
      <w:r w:rsidRPr="00D40840">
        <w:rPr>
          <w:rFonts w:ascii="Arial" w:hAnsi="Arial" w:cs="Arial"/>
          <w:lang w:eastAsia="es-MX"/>
        </w:rPr>
        <w:t xml:space="preserve"> </w:t>
      </w:r>
      <w:r>
        <w:rPr>
          <w:rFonts w:ascii="Arial" w:hAnsi="Arial" w:cs="Arial"/>
          <w:lang w:eastAsia="es-MX"/>
        </w:rPr>
        <w:t>Intangibles</w:t>
      </w:r>
      <w:r w:rsidRPr="00D40840">
        <w:rPr>
          <w:rFonts w:ascii="Arial" w:hAnsi="Arial" w:cs="Arial"/>
          <w:lang w:eastAsia="es-MX"/>
        </w:rPr>
        <w:t>:</w:t>
      </w:r>
    </w:p>
    <w:p w:rsidR="009D0034" w:rsidRPr="00D40840" w:rsidRDefault="009D0034" w:rsidP="009D0034">
      <w:pPr>
        <w:autoSpaceDE w:val="0"/>
        <w:autoSpaceDN w:val="0"/>
        <w:adjustRightInd w:val="0"/>
        <w:spacing w:before="240" w:after="120"/>
        <w:jc w:val="center"/>
        <w:rPr>
          <w:rFonts w:ascii="Arial" w:hAnsi="Arial" w:cs="Arial"/>
          <w:b/>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2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2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0174D5">
            <w:pPr>
              <w:autoSpaceDE w:val="0"/>
              <w:autoSpaceDN w:val="0"/>
              <w:adjustRightInd w:val="0"/>
              <w:spacing w:before="20"/>
              <w:jc w:val="right"/>
              <w:rPr>
                <w:rFonts w:ascii="Arial" w:hAnsi="Arial" w:cs="Arial"/>
                <w:lang w:eastAsia="es-MX"/>
              </w:rPr>
            </w:pPr>
            <w:r>
              <w:rPr>
                <w:rFonts w:ascii="Arial" w:hAnsi="Arial" w:cs="Arial"/>
                <w:lang w:eastAsia="es-MX"/>
              </w:rPr>
              <w:t>157’241,985</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0174D5">
            <w:pPr>
              <w:autoSpaceDE w:val="0"/>
              <w:autoSpaceDN w:val="0"/>
              <w:adjustRightInd w:val="0"/>
              <w:spacing w:before="20"/>
              <w:jc w:val="right"/>
              <w:rPr>
                <w:rFonts w:ascii="Arial" w:hAnsi="Arial" w:cs="Arial"/>
                <w:lang w:eastAsia="es-MX"/>
              </w:rPr>
            </w:pPr>
            <w:r>
              <w:rPr>
                <w:rFonts w:ascii="Arial" w:hAnsi="Arial" w:cs="Arial"/>
                <w:lang w:eastAsia="es-MX"/>
              </w:rPr>
              <w:t>4’408,056</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FD1B26">
            <w:pPr>
              <w:autoSpaceDE w:val="0"/>
              <w:autoSpaceDN w:val="0"/>
              <w:adjustRightInd w:val="0"/>
              <w:spacing w:before="20"/>
              <w:jc w:val="right"/>
              <w:rPr>
                <w:rFonts w:ascii="Arial" w:hAnsi="Arial" w:cs="Arial"/>
                <w:lang w:eastAsia="es-MX"/>
              </w:rPr>
            </w:pPr>
            <w:r>
              <w:rPr>
                <w:rFonts w:ascii="Arial" w:hAnsi="Arial" w:cs="Arial"/>
                <w:lang w:eastAsia="es-MX"/>
              </w:rPr>
              <w:t>7</w:t>
            </w:r>
            <w:r w:rsidR="009D0034">
              <w:rPr>
                <w:rFonts w:ascii="Arial" w:hAnsi="Arial" w:cs="Arial"/>
                <w:lang w:eastAsia="es-MX"/>
              </w:rPr>
              <w:t>’</w:t>
            </w:r>
            <w:r>
              <w:rPr>
                <w:rFonts w:ascii="Arial" w:hAnsi="Arial" w:cs="Arial"/>
                <w:lang w:eastAsia="es-MX"/>
              </w:rPr>
              <w:t>045</w:t>
            </w:r>
            <w:r w:rsidR="009D0034">
              <w:rPr>
                <w:rFonts w:ascii="Arial" w:hAnsi="Arial" w:cs="Arial"/>
                <w:lang w:eastAsia="es-MX"/>
              </w:rPr>
              <w:t>,</w:t>
            </w:r>
            <w:r>
              <w:rPr>
                <w:rFonts w:ascii="Arial" w:hAnsi="Arial" w:cs="Arial"/>
                <w:lang w:eastAsia="es-MX"/>
              </w:rPr>
              <w:t>825</w:t>
            </w:r>
          </w:p>
        </w:tc>
      </w:tr>
      <w:tr w:rsidR="00130B4F" w:rsidRPr="00D40840" w:rsidTr="000174D5">
        <w:trPr>
          <w:trHeight w:val="334"/>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130B4F">
            <w:pPr>
              <w:autoSpaceDE w:val="0"/>
              <w:autoSpaceDN w:val="0"/>
              <w:adjustRightInd w:val="0"/>
              <w:spacing w:before="2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FD1B26" w:rsidP="000174D5">
            <w:pPr>
              <w:autoSpaceDE w:val="0"/>
              <w:autoSpaceDN w:val="0"/>
              <w:adjustRightInd w:val="0"/>
              <w:spacing w:before="20"/>
              <w:jc w:val="right"/>
              <w:rPr>
                <w:rFonts w:ascii="Arial" w:hAnsi="Arial" w:cs="Arial"/>
                <w:lang w:eastAsia="es-MX"/>
              </w:rPr>
            </w:pPr>
            <w:r>
              <w:rPr>
                <w:rFonts w:ascii="Arial" w:hAnsi="Arial" w:cs="Arial"/>
                <w:lang w:eastAsia="es-MX"/>
              </w:rPr>
              <w:t>834,917</w:t>
            </w:r>
          </w:p>
        </w:tc>
      </w:tr>
      <w:tr w:rsidR="009D0034" w:rsidRPr="00D40840" w:rsidTr="000174D5">
        <w:trPr>
          <w:trHeight w:val="334"/>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right"/>
              <w:rPr>
                <w:rFonts w:ascii="Arial" w:hAnsi="Arial" w:cs="Arial"/>
                <w:lang w:eastAsia="es-MX"/>
              </w:rPr>
            </w:pPr>
            <w:r w:rsidRPr="00D40840">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FD1B26" w:rsidP="00FD1B26">
            <w:pPr>
              <w:autoSpaceDE w:val="0"/>
              <w:autoSpaceDN w:val="0"/>
              <w:adjustRightInd w:val="0"/>
              <w:spacing w:before="20"/>
              <w:jc w:val="right"/>
              <w:rPr>
                <w:rFonts w:ascii="Arial" w:hAnsi="Arial" w:cs="Arial"/>
                <w:lang w:eastAsia="es-MX"/>
              </w:rPr>
            </w:pPr>
            <w:r>
              <w:rPr>
                <w:rFonts w:ascii="Arial" w:hAnsi="Arial" w:cs="Arial"/>
                <w:lang w:eastAsia="es-MX"/>
              </w:rPr>
              <w:t>169</w:t>
            </w:r>
            <w:r w:rsidR="009D0034">
              <w:rPr>
                <w:rFonts w:ascii="Arial" w:hAnsi="Arial" w:cs="Arial"/>
                <w:lang w:eastAsia="es-MX"/>
              </w:rPr>
              <w:t>’</w:t>
            </w:r>
            <w:r>
              <w:rPr>
                <w:rFonts w:ascii="Arial" w:hAnsi="Arial" w:cs="Arial"/>
                <w:lang w:eastAsia="es-MX"/>
              </w:rPr>
              <w:t>530</w:t>
            </w:r>
            <w:r w:rsidR="009D0034">
              <w:rPr>
                <w:rFonts w:ascii="Arial" w:hAnsi="Arial" w:cs="Arial"/>
                <w:lang w:eastAsia="es-MX"/>
              </w:rPr>
              <w:t>,</w:t>
            </w:r>
            <w:r>
              <w:rPr>
                <w:rFonts w:ascii="Arial" w:hAnsi="Arial" w:cs="Arial"/>
                <w:lang w:eastAsia="es-MX"/>
              </w:rPr>
              <w:t>783</w:t>
            </w:r>
          </w:p>
        </w:tc>
      </w:tr>
    </w:tbl>
    <w:p w:rsidR="009D0034" w:rsidRDefault="009D0034" w:rsidP="009D0034">
      <w:pPr>
        <w:spacing w:before="80"/>
        <w:jc w:val="both"/>
        <w:rPr>
          <w:rFonts w:ascii="Arial" w:hAnsi="Arial" w:cs="Arial"/>
          <w:b/>
          <w:lang w:eastAsia="es-MX"/>
        </w:rPr>
      </w:pPr>
    </w:p>
    <w:p w:rsidR="009D0034" w:rsidRDefault="009D0034" w:rsidP="009D0034">
      <w:pPr>
        <w:spacing w:before="80"/>
        <w:jc w:val="both"/>
        <w:rPr>
          <w:rFonts w:ascii="Arial" w:hAnsi="Arial" w:cs="Arial"/>
          <w:b/>
          <w:lang w:eastAsia="es-MX"/>
        </w:rPr>
      </w:pPr>
    </w:p>
    <w:p w:rsidR="009D0034" w:rsidRDefault="009D0034" w:rsidP="009D0034">
      <w:pPr>
        <w:spacing w:before="80"/>
        <w:jc w:val="both"/>
        <w:rPr>
          <w:rFonts w:ascii="Arial" w:hAnsi="Arial" w:cs="Arial"/>
          <w:b/>
          <w:lang w:eastAsia="es-MX"/>
        </w:rPr>
      </w:pPr>
    </w:p>
    <w:p w:rsidR="009D0034" w:rsidRPr="00D40840" w:rsidRDefault="009D0034" w:rsidP="009D0034">
      <w:pPr>
        <w:numPr>
          <w:ilvl w:val="0"/>
          <w:numId w:val="2"/>
        </w:numPr>
        <w:spacing w:before="80" w:line="276" w:lineRule="auto"/>
        <w:ind w:left="714" w:hanging="357"/>
        <w:jc w:val="both"/>
        <w:rPr>
          <w:rFonts w:ascii="Arial" w:hAnsi="Arial" w:cs="Arial"/>
          <w:b/>
          <w:lang w:eastAsia="es-MX"/>
        </w:rPr>
      </w:pPr>
      <w:r>
        <w:rPr>
          <w:rFonts w:ascii="Arial" w:hAnsi="Arial" w:cs="Arial"/>
          <w:b/>
          <w:lang w:eastAsia="es-MX"/>
        </w:rPr>
        <w:t>Depreciación</w:t>
      </w:r>
    </w:p>
    <w:p w:rsidR="009D0034" w:rsidRPr="00D40840" w:rsidRDefault="009D0034" w:rsidP="009D0034">
      <w:pPr>
        <w:spacing w:before="80"/>
        <w:ind w:left="720"/>
        <w:jc w:val="both"/>
        <w:rPr>
          <w:rFonts w:ascii="Arial" w:hAnsi="Arial" w:cs="Arial"/>
          <w:lang w:eastAsia="es-MX"/>
        </w:rPr>
      </w:pPr>
      <w:r w:rsidRPr="00D40840">
        <w:rPr>
          <w:rFonts w:ascii="Arial" w:hAnsi="Arial" w:cs="Arial"/>
          <w:lang w:eastAsia="es-MX"/>
        </w:rPr>
        <w:t xml:space="preserve">Representa el monto de </w:t>
      </w:r>
      <w:r>
        <w:rPr>
          <w:rFonts w:ascii="Arial" w:hAnsi="Arial" w:cs="Arial"/>
          <w:lang w:eastAsia="es-MX"/>
        </w:rPr>
        <w:t>las depreciaciones de bienes e intangibles</w:t>
      </w:r>
      <w:r w:rsidRPr="00D40840">
        <w:rPr>
          <w:rFonts w:ascii="Arial" w:hAnsi="Arial" w:cs="Arial"/>
          <w:lang w:eastAsia="es-MX"/>
        </w:rPr>
        <w:t>.</w:t>
      </w:r>
    </w:p>
    <w:p w:rsidR="009D0034" w:rsidRPr="00D40840" w:rsidRDefault="00AC77F6" w:rsidP="009D0034">
      <w:pPr>
        <w:autoSpaceDE w:val="0"/>
        <w:autoSpaceDN w:val="0"/>
        <w:adjustRightInd w:val="0"/>
        <w:spacing w:before="240" w:after="120"/>
        <w:jc w:val="center"/>
        <w:rPr>
          <w:rFonts w:ascii="Arial" w:hAnsi="Arial" w:cs="Arial"/>
          <w:b/>
          <w:lang w:eastAsia="es-MX"/>
        </w:rPr>
      </w:pPr>
      <w:r>
        <w:rPr>
          <w:rFonts w:ascii="Arial" w:hAnsi="Arial" w:cs="Arial"/>
          <w:b/>
          <w:lang w:eastAsia="es-MX"/>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2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2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-456’054,554</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7F5AE8">
            <w:pPr>
              <w:autoSpaceDE w:val="0"/>
              <w:autoSpaceDN w:val="0"/>
              <w:adjustRightInd w:val="0"/>
              <w:spacing w:before="20"/>
              <w:jc w:val="right"/>
              <w:rPr>
                <w:rFonts w:ascii="Arial" w:hAnsi="Arial" w:cs="Arial"/>
                <w:lang w:eastAsia="es-MX"/>
              </w:rPr>
            </w:pPr>
            <w:r>
              <w:rPr>
                <w:rFonts w:ascii="Arial" w:hAnsi="Arial" w:cs="Arial"/>
                <w:lang w:eastAsia="es-MX"/>
              </w:rPr>
              <w:t>-26</w:t>
            </w:r>
            <w:r w:rsidR="009D0034">
              <w:rPr>
                <w:rFonts w:ascii="Arial" w:hAnsi="Arial" w:cs="Arial"/>
                <w:lang w:eastAsia="es-MX"/>
              </w:rPr>
              <w:t>’</w:t>
            </w:r>
            <w:r>
              <w:rPr>
                <w:rFonts w:ascii="Arial" w:hAnsi="Arial" w:cs="Arial"/>
                <w:lang w:eastAsia="es-MX"/>
              </w:rPr>
              <w:t>333</w:t>
            </w:r>
            <w:r w:rsidR="009D0034">
              <w:rPr>
                <w:rFonts w:ascii="Arial" w:hAnsi="Arial" w:cs="Arial"/>
                <w:lang w:eastAsia="es-MX"/>
              </w:rPr>
              <w:t>,6</w:t>
            </w:r>
            <w:r>
              <w:rPr>
                <w:rFonts w:ascii="Arial" w:hAnsi="Arial" w:cs="Arial"/>
                <w:lang w:eastAsia="es-MX"/>
              </w:rPr>
              <w:t>11</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20"/>
              <w:jc w:val="right"/>
              <w:rPr>
                <w:rFonts w:ascii="Arial" w:hAnsi="Arial" w:cs="Arial"/>
                <w:lang w:eastAsia="es-MX"/>
              </w:rPr>
            </w:pPr>
            <w:r w:rsidRPr="00D40840">
              <w:rPr>
                <w:rFonts w:ascii="Arial" w:hAnsi="Arial" w:cs="Arial"/>
                <w:lang w:eastAsia="es-MX"/>
              </w:rPr>
              <w:t>0</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Default="00130B4F" w:rsidP="00130B4F">
            <w:pPr>
              <w:autoSpaceDE w:val="0"/>
              <w:autoSpaceDN w:val="0"/>
              <w:adjustRightInd w:val="0"/>
              <w:spacing w:before="2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130B4F" w:rsidP="000174D5">
            <w:pPr>
              <w:autoSpaceDE w:val="0"/>
              <w:autoSpaceDN w:val="0"/>
              <w:adjustRightInd w:val="0"/>
              <w:spacing w:before="20"/>
              <w:jc w:val="right"/>
              <w:rPr>
                <w:rFonts w:ascii="Arial" w:hAnsi="Arial" w:cs="Arial"/>
                <w:lang w:eastAsia="es-MX"/>
              </w:rPr>
            </w:pP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20"/>
              <w:jc w:val="right"/>
              <w:rPr>
                <w:rFonts w:ascii="Arial" w:hAnsi="Arial" w:cs="Arial"/>
                <w:lang w:eastAsia="es-MX"/>
              </w:rPr>
            </w:pPr>
            <w:r>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7F5AE8">
            <w:pPr>
              <w:autoSpaceDE w:val="0"/>
              <w:autoSpaceDN w:val="0"/>
              <w:adjustRightInd w:val="0"/>
              <w:spacing w:before="20"/>
              <w:jc w:val="right"/>
              <w:rPr>
                <w:rFonts w:ascii="Arial" w:hAnsi="Arial" w:cs="Arial"/>
                <w:lang w:eastAsia="es-MX"/>
              </w:rPr>
            </w:pPr>
            <w:r>
              <w:rPr>
                <w:rFonts w:ascii="Arial" w:hAnsi="Arial" w:cs="Arial"/>
                <w:lang w:eastAsia="es-MX"/>
              </w:rPr>
              <w:t>-482’388</w:t>
            </w:r>
            <w:r w:rsidR="009D0034">
              <w:rPr>
                <w:rFonts w:ascii="Arial" w:hAnsi="Arial" w:cs="Arial"/>
                <w:lang w:eastAsia="es-MX"/>
              </w:rPr>
              <w:t>,</w:t>
            </w:r>
            <w:r>
              <w:rPr>
                <w:rFonts w:ascii="Arial" w:hAnsi="Arial" w:cs="Arial"/>
                <w:lang w:eastAsia="es-MX"/>
              </w:rPr>
              <w:t>165</w:t>
            </w:r>
          </w:p>
        </w:tc>
      </w:tr>
    </w:tbl>
    <w:p w:rsidR="009D0034" w:rsidRDefault="009D0034" w:rsidP="001E4F5F">
      <w:pPr>
        <w:spacing w:line="360" w:lineRule="auto"/>
        <w:jc w:val="center"/>
        <w:rPr>
          <w:rFonts w:ascii="Arial" w:hAnsi="Arial" w:cs="Arial"/>
          <w:b/>
          <w:lang w:val="es-MX"/>
        </w:rPr>
      </w:pPr>
    </w:p>
    <w:p w:rsidR="009D0034" w:rsidRDefault="009D0034" w:rsidP="001E4F5F">
      <w:pPr>
        <w:spacing w:line="360" w:lineRule="auto"/>
        <w:jc w:val="center"/>
        <w:rPr>
          <w:rFonts w:ascii="Arial" w:hAnsi="Arial" w:cs="Arial"/>
          <w:b/>
          <w:lang w:val="es-MX"/>
        </w:rPr>
      </w:pPr>
    </w:p>
    <w:p w:rsidR="009D0034" w:rsidRDefault="009D0034" w:rsidP="00AB547B">
      <w:pPr>
        <w:spacing w:line="360" w:lineRule="auto"/>
        <w:rPr>
          <w:rFonts w:ascii="Arial" w:hAnsi="Arial" w:cs="Arial"/>
          <w:b/>
          <w:lang w:val="es-MX"/>
        </w:rPr>
      </w:pPr>
    </w:p>
    <w:p w:rsidR="00AB547B" w:rsidRDefault="00AB547B" w:rsidP="00AB547B">
      <w:pPr>
        <w:spacing w:line="360" w:lineRule="auto"/>
        <w:rPr>
          <w:rFonts w:ascii="Arial" w:hAnsi="Arial" w:cs="Arial"/>
          <w:b/>
          <w:lang w:val="es-MX"/>
        </w:rPr>
      </w:pPr>
    </w:p>
    <w:p w:rsidR="009D0034" w:rsidRPr="00D40840" w:rsidRDefault="009D0034" w:rsidP="009D0034">
      <w:pPr>
        <w:numPr>
          <w:ilvl w:val="0"/>
          <w:numId w:val="2"/>
        </w:numPr>
        <w:spacing w:before="80" w:line="276" w:lineRule="auto"/>
        <w:ind w:left="714" w:hanging="357"/>
        <w:jc w:val="both"/>
        <w:rPr>
          <w:rFonts w:ascii="Arial" w:hAnsi="Arial" w:cs="Arial"/>
          <w:b/>
          <w:lang w:eastAsia="es-MX"/>
        </w:rPr>
      </w:pPr>
      <w:r w:rsidRPr="00D40840">
        <w:rPr>
          <w:rFonts w:ascii="Arial" w:hAnsi="Arial" w:cs="Arial"/>
          <w:b/>
          <w:lang w:eastAsia="es-MX"/>
        </w:rPr>
        <w:lastRenderedPageBreak/>
        <w:t>Activos Diferidos</w:t>
      </w:r>
    </w:p>
    <w:p w:rsidR="009D0034" w:rsidRDefault="009D0034" w:rsidP="00AB547B">
      <w:pPr>
        <w:spacing w:before="80" w:line="360" w:lineRule="auto"/>
        <w:ind w:left="720"/>
        <w:jc w:val="both"/>
        <w:rPr>
          <w:rFonts w:ascii="Arial" w:hAnsi="Arial" w:cs="Arial"/>
          <w:b/>
          <w:lang w:eastAsia="es-MX"/>
        </w:rPr>
      </w:pPr>
      <w:r w:rsidRPr="00D40840">
        <w:rPr>
          <w:rFonts w:ascii="Arial" w:hAnsi="Arial" w:cs="Arial"/>
          <w:lang w:eastAsia="es-MX"/>
        </w:rPr>
        <w:t>Representa el monto de otros bienes y derechos; a favor del ente público, cuyo beneficio se recibirá en un período mayor a doce meses.</w:t>
      </w:r>
      <w:r w:rsidR="00AC77F6">
        <w:rPr>
          <w:rFonts w:ascii="Arial" w:hAnsi="Arial" w:cs="Arial"/>
          <w:b/>
          <w:lang w:eastAsia="es-MX"/>
        </w:rPr>
        <w:t xml:space="preserve"> </w:t>
      </w:r>
    </w:p>
    <w:p w:rsidR="00AB547B" w:rsidRPr="00AB547B" w:rsidRDefault="00AB547B" w:rsidP="00AB547B">
      <w:pPr>
        <w:spacing w:before="80" w:line="360" w:lineRule="auto"/>
        <w:ind w:left="720"/>
        <w:jc w:val="both"/>
        <w:rPr>
          <w:rFonts w:ascii="Arial" w:hAnsi="Arial" w:cs="Arial"/>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2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2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20"/>
              <w:jc w:val="right"/>
              <w:rPr>
                <w:rFonts w:ascii="Arial" w:hAnsi="Arial" w:cs="Arial"/>
                <w:lang w:eastAsia="es-MX"/>
              </w:rPr>
            </w:pPr>
            <w:r>
              <w:rPr>
                <w:rFonts w:ascii="Arial" w:hAnsi="Arial" w:cs="Arial"/>
                <w:lang w:eastAsia="es-MX"/>
              </w:rPr>
              <w:t>3’6</w:t>
            </w:r>
            <w:r w:rsidRPr="00D40840">
              <w:rPr>
                <w:rFonts w:ascii="Arial" w:hAnsi="Arial" w:cs="Arial"/>
                <w:lang w:eastAsia="es-MX"/>
              </w:rPr>
              <w:t>74,674</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0</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20"/>
              <w:jc w:val="right"/>
              <w:rPr>
                <w:rFonts w:ascii="Arial" w:hAnsi="Arial" w:cs="Arial"/>
                <w:lang w:eastAsia="es-MX"/>
              </w:rPr>
            </w:pPr>
            <w:r w:rsidRPr="00D40840">
              <w:rPr>
                <w:rFonts w:ascii="Arial" w:hAnsi="Arial" w:cs="Arial"/>
                <w:lang w:eastAsia="es-MX"/>
              </w:rPr>
              <w:t>0</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Default="00130B4F" w:rsidP="00130B4F">
            <w:pPr>
              <w:autoSpaceDE w:val="0"/>
              <w:autoSpaceDN w:val="0"/>
              <w:adjustRightInd w:val="0"/>
              <w:spacing w:before="2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45,475</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9D0034" w:rsidP="000174D5">
            <w:pPr>
              <w:autoSpaceDE w:val="0"/>
              <w:autoSpaceDN w:val="0"/>
              <w:adjustRightInd w:val="0"/>
              <w:spacing w:before="20"/>
              <w:jc w:val="right"/>
              <w:rPr>
                <w:rFonts w:ascii="Arial" w:hAnsi="Arial" w:cs="Arial"/>
                <w:lang w:eastAsia="es-MX"/>
              </w:rPr>
            </w:pPr>
            <w:r>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7F5AE8">
            <w:pPr>
              <w:autoSpaceDE w:val="0"/>
              <w:autoSpaceDN w:val="0"/>
              <w:adjustRightInd w:val="0"/>
              <w:spacing w:before="20"/>
              <w:jc w:val="right"/>
              <w:rPr>
                <w:rFonts w:ascii="Arial" w:hAnsi="Arial" w:cs="Arial"/>
                <w:lang w:eastAsia="es-MX"/>
              </w:rPr>
            </w:pPr>
            <w:r>
              <w:rPr>
                <w:rFonts w:ascii="Arial" w:hAnsi="Arial" w:cs="Arial"/>
                <w:lang w:eastAsia="es-MX"/>
              </w:rPr>
              <w:t>3‘7</w:t>
            </w:r>
            <w:r w:rsidR="009D0034">
              <w:rPr>
                <w:rFonts w:ascii="Arial" w:hAnsi="Arial" w:cs="Arial"/>
                <w:lang w:eastAsia="es-MX"/>
              </w:rPr>
              <w:t>20,</w:t>
            </w:r>
            <w:r>
              <w:rPr>
                <w:rFonts w:ascii="Arial" w:hAnsi="Arial" w:cs="Arial"/>
                <w:lang w:eastAsia="es-MX"/>
              </w:rPr>
              <w:t>149</w:t>
            </w:r>
          </w:p>
        </w:tc>
      </w:tr>
    </w:tbl>
    <w:p w:rsidR="009D0034" w:rsidRPr="00D40840" w:rsidRDefault="009D0034" w:rsidP="009D0034">
      <w:pPr>
        <w:autoSpaceDE w:val="0"/>
        <w:autoSpaceDN w:val="0"/>
        <w:adjustRightInd w:val="0"/>
        <w:spacing w:before="240" w:after="120" w:line="360" w:lineRule="auto"/>
        <w:jc w:val="both"/>
        <w:rPr>
          <w:rFonts w:ascii="Arial" w:hAnsi="Arial" w:cs="Arial"/>
          <w:b/>
          <w:lang w:eastAsia="es-MX"/>
        </w:rPr>
      </w:pPr>
      <w:r w:rsidRPr="00D40840">
        <w:rPr>
          <w:rFonts w:ascii="Arial" w:hAnsi="Arial" w:cs="Arial"/>
          <w:b/>
          <w:lang w:eastAsia="es-MX"/>
        </w:rPr>
        <w:t>Pasivo</w:t>
      </w:r>
    </w:p>
    <w:p w:rsidR="009D0034" w:rsidRPr="00D40840" w:rsidRDefault="009D0034" w:rsidP="009D0034">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Este género se compone de dos grupos, el Pasivo Circulante y el Pasivo No Circulante, en éstos inciden pasivos derivados de operaciones por servicios personales, cuentas por pagar por operaciones presupuestarias y contabilizadas al 31 de diciembre del ejercicio correspondiente; acreedores diversos, pasivos por títulos y valores colocados a corto y largo plazo. A continuación se presenta la integración de este rubro:</w:t>
      </w:r>
    </w:p>
    <w:p w:rsidR="009D0034" w:rsidRPr="00D40840" w:rsidRDefault="009D0034" w:rsidP="00AC77F6">
      <w:pPr>
        <w:autoSpaceDE w:val="0"/>
        <w:autoSpaceDN w:val="0"/>
        <w:adjustRightInd w:val="0"/>
        <w:spacing w:before="240" w:after="120"/>
        <w:rPr>
          <w:rFonts w:ascii="Arial" w:hAnsi="Arial" w:cs="Arial"/>
          <w:b/>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9D0034" w:rsidRPr="00D40840" w:rsidTr="009D0034">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9D0034" w:rsidP="000174D5">
            <w:pPr>
              <w:spacing w:before="2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9D0034" w:rsidRPr="00D40840" w:rsidRDefault="00130B4F" w:rsidP="000174D5">
            <w:pPr>
              <w:spacing w:before="2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9D0034"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30,122’606,136</w:t>
            </w:r>
          </w:p>
        </w:tc>
      </w:tr>
      <w:tr w:rsidR="009D0034"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1’330,721</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255’265,494</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130B4F">
            <w:pPr>
              <w:autoSpaceDE w:val="0"/>
              <w:autoSpaceDN w:val="0"/>
              <w:adjustRightInd w:val="0"/>
              <w:spacing w:before="2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18’640,837</w:t>
            </w:r>
          </w:p>
        </w:tc>
      </w:tr>
      <w:tr w:rsidR="009D0034"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9D0034" w:rsidRPr="00D40840" w:rsidRDefault="009D0034" w:rsidP="000174D5">
            <w:pPr>
              <w:autoSpaceDE w:val="0"/>
              <w:autoSpaceDN w:val="0"/>
              <w:adjustRightInd w:val="0"/>
              <w:spacing w:before="20"/>
              <w:jc w:val="right"/>
              <w:rPr>
                <w:rFonts w:ascii="Arial" w:hAnsi="Arial" w:cs="Arial"/>
                <w:lang w:eastAsia="es-MX"/>
              </w:rPr>
            </w:pPr>
            <w:r w:rsidRPr="00D40840">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9D0034" w:rsidRPr="00D40840" w:rsidRDefault="007F5AE8" w:rsidP="007F5AE8">
            <w:pPr>
              <w:autoSpaceDE w:val="0"/>
              <w:autoSpaceDN w:val="0"/>
              <w:adjustRightInd w:val="0"/>
              <w:spacing w:before="20"/>
              <w:jc w:val="right"/>
              <w:rPr>
                <w:rFonts w:ascii="Arial" w:hAnsi="Arial" w:cs="Arial"/>
                <w:lang w:eastAsia="es-MX"/>
              </w:rPr>
            </w:pPr>
            <w:r>
              <w:rPr>
                <w:rFonts w:ascii="Arial" w:hAnsi="Arial" w:cs="Arial"/>
                <w:lang w:eastAsia="es-MX"/>
              </w:rPr>
              <w:t>30,397’843</w:t>
            </w:r>
            <w:r w:rsidR="009D0034">
              <w:rPr>
                <w:rFonts w:ascii="Arial" w:hAnsi="Arial" w:cs="Arial"/>
                <w:lang w:eastAsia="es-MX"/>
              </w:rPr>
              <w:t>,</w:t>
            </w:r>
            <w:r>
              <w:rPr>
                <w:rFonts w:ascii="Arial" w:hAnsi="Arial" w:cs="Arial"/>
                <w:lang w:eastAsia="es-MX"/>
              </w:rPr>
              <w:t>188</w:t>
            </w:r>
          </w:p>
        </w:tc>
      </w:tr>
    </w:tbl>
    <w:p w:rsidR="009D0034" w:rsidRDefault="009D0034" w:rsidP="001E4F5F">
      <w:pPr>
        <w:spacing w:line="360" w:lineRule="auto"/>
        <w:jc w:val="center"/>
        <w:rPr>
          <w:rFonts w:ascii="Arial" w:hAnsi="Arial" w:cs="Arial"/>
          <w:b/>
          <w:lang w:val="es-MX"/>
        </w:rPr>
      </w:pPr>
    </w:p>
    <w:p w:rsidR="00182BDF" w:rsidRPr="00D40840" w:rsidRDefault="00182BDF" w:rsidP="00182BDF">
      <w:pPr>
        <w:autoSpaceDE w:val="0"/>
        <w:autoSpaceDN w:val="0"/>
        <w:adjustRightInd w:val="0"/>
        <w:spacing w:before="240" w:after="120"/>
        <w:jc w:val="both"/>
        <w:rPr>
          <w:rFonts w:ascii="Arial" w:hAnsi="Arial" w:cs="Arial"/>
          <w:b/>
          <w:lang w:eastAsia="es-MX"/>
        </w:rPr>
      </w:pPr>
      <w:r w:rsidRPr="00D40840">
        <w:rPr>
          <w:rFonts w:ascii="Arial" w:hAnsi="Arial" w:cs="Arial"/>
          <w:b/>
          <w:lang w:eastAsia="es-MX"/>
        </w:rPr>
        <w:lastRenderedPageBreak/>
        <w:t>Notas al Estado de Variación de la Hacienda Pública/Patrimonio</w:t>
      </w:r>
    </w:p>
    <w:p w:rsidR="00182BDF" w:rsidRPr="00D40840" w:rsidRDefault="00182BDF" w:rsidP="00182BDF">
      <w:pPr>
        <w:autoSpaceDE w:val="0"/>
        <w:autoSpaceDN w:val="0"/>
        <w:adjustRightInd w:val="0"/>
        <w:spacing w:before="80"/>
        <w:ind w:left="709"/>
        <w:jc w:val="both"/>
        <w:rPr>
          <w:rFonts w:ascii="Arial" w:hAnsi="Arial" w:cs="Arial"/>
          <w:lang w:eastAsia="es-MX"/>
        </w:rPr>
      </w:pPr>
      <w:r>
        <w:rPr>
          <w:rFonts w:ascii="Arial" w:hAnsi="Arial" w:cs="Arial"/>
          <w:lang w:eastAsia="es-MX"/>
        </w:rPr>
        <w:t>El importe</w:t>
      </w:r>
      <w:r w:rsidRPr="00D40840">
        <w:rPr>
          <w:rFonts w:ascii="Arial" w:hAnsi="Arial" w:cs="Arial"/>
          <w:lang w:eastAsia="es-MX"/>
        </w:rPr>
        <w:t xml:space="preserve"> de la Hacienda Pública/Patri</w:t>
      </w:r>
      <w:r w:rsidR="00AC77F6">
        <w:rPr>
          <w:rFonts w:ascii="Arial" w:hAnsi="Arial" w:cs="Arial"/>
          <w:lang w:eastAsia="es-MX"/>
        </w:rPr>
        <w:t>monio al 31 de diciembre de 2017</w:t>
      </w:r>
      <w:r w:rsidRPr="00D40840">
        <w:rPr>
          <w:rFonts w:ascii="Arial" w:hAnsi="Arial" w:cs="Arial"/>
          <w:lang w:eastAsia="es-MX"/>
        </w:rPr>
        <w:t xml:space="preserve"> se conforma como sigue:</w:t>
      </w:r>
    </w:p>
    <w:p w:rsidR="00182BDF" w:rsidRPr="00D40840" w:rsidRDefault="00182BDF" w:rsidP="00182BDF">
      <w:pPr>
        <w:autoSpaceDE w:val="0"/>
        <w:autoSpaceDN w:val="0"/>
        <w:adjustRightInd w:val="0"/>
        <w:spacing w:before="240" w:after="120"/>
        <w:jc w:val="center"/>
        <w:rPr>
          <w:rFonts w:ascii="Arial" w:hAnsi="Arial" w:cs="Arial"/>
          <w:b/>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182BDF" w:rsidRPr="00D40840" w:rsidTr="00182BDF">
        <w:trPr>
          <w:jc w:val="center"/>
        </w:trPr>
        <w:tc>
          <w:tcPr>
            <w:tcW w:w="3318" w:type="dxa"/>
            <w:tcBorders>
              <w:top w:val="single" w:sz="4" w:space="0" w:color="auto"/>
              <w:left w:val="single" w:sz="4" w:space="0" w:color="auto"/>
              <w:bottom w:val="single" w:sz="4" w:space="0" w:color="auto"/>
              <w:right w:val="single" w:sz="4" w:space="0" w:color="auto"/>
            </w:tcBorders>
            <w:shd w:val="clear" w:color="auto" w:fill="0070C0"/>
            <w:hideMark/>
          </w:tcPr>
          <w:p w:rsidR="00182BDF" w:rsidRPr="00D40840" w:rsidRDefault="00182BDF" w:rsidP="000174D5">
            <w:pPr>
              <w:spacing w:before="20"/>
              <w:jc w:val="center"/>
              <w:rPr>
                <w:rFonts w:ascii="Arial" w:eastAsia="Calibri" w:hAnsi="Arial" w:cs="Arial"/>
                <w:b/>
                <w:color w:val="FFFFFF"/>
                <w:spacing w:val="-1"/>
                <w:lang w:eastAsia="es-MX"/>
              </w:rPr>
            </w:pPr>
            <w:r w:rsidRPr="00D40840">
              <w:rPr>
                <w:rFonts w:ascii="Arial" w:eastAsia="Calibri" w:hAnsi="Arial" w:cs="Arial"/>
                <w:b/>
                <w:color w:val="FFFFFF"/>
                <w:spacing w:val="-1"/>
                <w:lang w:eastAsia="es-MX"/>
              </w:rPr>
              <w:t>Concepto</w:t>
            </w:r>
          </w:p>
        </w:tc>
        <w:tc>
          <w:tcPr>
            <w:tcW w:w="2429" w:type="dxa"/>
            <w:tcBorders>
              <w:top w:val="single" w:sz="4" w:space="0" w:color="auto"/>
              <w:left w:val="single" w:sz="4" w:space="0" w:color="auto"/>
              <w:bottom w:val="single" w:sz="4" w:space="0" w:color="auto"/>
              <w:right w:val="single" w:sz="4" w:space="0" w:color="auto"/>
            </w:tcBorders>
            <w:shd w:val="clear" w:color="auto" w:fill="0070C0"/>
            <w:hideMark/>
          </w:tcPr>
          <w:p w:rsidR="00182BDF" w:rsidRPr="00D40840" w:rsidRDefault="00130B4F" w:rsidP="000174D5">
            <w:pPr>
              <w:spacing w:before="20"/>
              <w:jc w:val="center"/>
              <w:rPr>
                <w:rFonts w:ascii="Arial" w:eastAsia="Calibri" w:hAnsi="Arial" w:cs="Arial"/>
                <w:b/>
                <w:color w:val="FFFFFF"/>
                <w:spacing w:val="-1"/>
                <w:lang w:eastAsia="es-MX"/>
              </w:rPr>
            </w:pPr>
            <w:r>
              <w:rPr>
                <w:rFonts w:ascii="Arial" w:eastAsia="Calibri" w:hAnsi="Arial" w:cs="Arial"/>
                <w:b/>
                <w:color w:val="FFFFFF"/>
                <w:spacing w:val="-1"/>
                <w:lang w:eastAsia="es-MX"/>
              </w:rPr>
              <w:t>2017</w:t>
            </w:r>
          </w:p>
        </w:tc>
      </w:tr>
      <w:tr w:rsidR="00182BDF" w:rsidRPr="00D40840" w:rsidTr="000174D5">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182BDF" w:rsidRPr="00D40840" w:rsidRDefault="00182BDF"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82BDF" w:rsidRPr="00D40840" w:rsidRDefault="007F5AE8" w:rsidP="007F5AE8">
            <w:pPr>
              <w:autoSpaceDE w:val="0"/>
              <w:autoSpaceDN w:val="0"/>
              <w:adjustRightInd w:val="0"/>
              <w:spacing w:before="20"/>
              <w:jc w:val="right"/>
              <w:rPr>
                <w:rFonts w:ascii="Arial" w:hAnsi="Arial" w:cs="Arial"/>
                <w:lang w:eastAsia="es-MX"/>
              </w:rPr>
            </w:pPr>
            <w:r>
              <w:rPr>
                <w:rFonts w:ascii="Arial" w:hAnsi="Arial" w:cs="Arial"/>
                <w:lang w:eastAsia="es-MX"/>
              </w:rPr>
              <w:t>-3</w:t>
            </w:r>
            <w:r w:rsidR="00182BDF">
              <w:rPr>
                <w:rFonts w:ascii="Arial" w:hAnsi="Arial" w:cs="Arial"/>
                <w:lang w:eastAsia="es-MX"/>
              </w:rPr>
              <w:t>,</w:t>
            </w:r>
            <w:r>
              <w:rPr>
                <w:rFonts w:ascii="Arial" w:hAnsi="Arial" w:cs="Arial"/>
                <w:lang w:eastAsia="es-MX"/>
              </w:rPr>
              <w:t>697</w:t>
            </w:r>
            <w:r w:rsidR="00182BDF">
              <w:rPr>
                <w:rFonts w:ascii="Arial" w:hAnsi="Arial" w:cs="Arial"/>
                <w:lang w:eastAsia="es-MX"/>
              </w:rPr>
              <w:t>’</w:t>
            </w:r>
            <w:r>
              <w:rPr>
                <w:rFonts w:ascii="Arial" w:hAnsi="Arial" w:cs="Arial"/>
                <w:lang w:eastAsia="es-MX"/>
              </w:rPr>
              <w:t>994</w:t>
            </w:r>
            <w:r w:rsidR="00182BDF">
              <w:rPr>
                <w:rFonts w:ascii="Arial" w:hAnsi="Arial" w:cs="Arial"/>
                <w:lang w:eastAsia="es-MX"/>
              </w:rPr>
              <w:t>,</w:t>
            </w:r>
            <w:r>
              <w:rPr>
                <w:rFonts w:ascii="Arial" w:hAnsi="Arial" w:cs="Arial"/>
                <w:lang w:eastAsia="es-MX"/>
              </w:rPr>
              <w:t>337</w:t>
            </w:r>
          </w:p>
        </w:tc>
      </w:tr>
      <w:tr w:rsidR="00182BDF" w:rsidRPr="00D40840" w:rsidTr="000174D5">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182BDF" w:rsidRPr="00D40840" w:rsidRDefault="00182BDF"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82BDF" w:rsidRPr="00D40840"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80’187,538</w:t>
            </w:r>
          </w:p>
        </w:tc>
      </w:tr>
      <w:tr w:rsidR="00182BD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182BDF" w:rsidRPr="00D40840" w:rsidRDefault="00182BDF" w:rsidP="000174D5">
            <w:pPr>
              <w:autoSpaceDE w:val="0"/>
              <w:autoSpaceDN w:val="0"/>
              <w:adjustRightInd w:val="0"/>
              <w:spacing w:before="20"/>
              <w:jc w:val="both"/>
              <w:rPr>
                <w:rFonts w:ascii="Arial" w:hAnsi="Arial" w:cs="Arial"/>
                <w:lang w:eastAsia="es-MX"/>
              </w:rPr>
            </w:pPr>
            <w:r w:rsidRPr="00D40840">
              <w:rPr>
                <w:rFonts w:ascii="Arial" w:hAnsi="Arial" w:cs="Arial"/>
                <w:lang w:eastAsia="es-MX"/>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82BDF" w:rsidRPr="00D40840"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1‘045’833,948</w:t>
            </w:r>
          </w:p>
        </w:tc>
      </w:tr>
      <w:tr w:rsidR="00130B4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130B4F" w:rsidRPr="00D40840" w:rsidRDefault="00130B4F" w:rsidP="00130B4F">
            <w:pPr>
              <w:autoSpaceDE w:val="0"/>
              <w:autoSpaceDN w:val="0"/>
              <w:adjustRightInd w:val="0"/>
              <w:spacing w:before="20"/>
              <w:rPr>
                <w:rFonts w:ascii="Arial" w:hAnsi="Arial" w:cs="Arial"/>
                <w:lang w:eastAsia="es-MX"/>
              </w:rPr>
            </w:pPr>
            <w:r>
              <w:rPr>
                <w:rFonts w:ascii="Arial" w:hAnsi="Arial" w:cs="Arial"/>
                <w:lang w:eastAsia="es-MX"/>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0B4F" w:rsidRDefault="007F5AE8" w:rsidP="000174D5">
            <w:pPr>
              <w:autoSpaceDE w:val="0"/>
              <w:autoSpaceDN w:val="0"/>
              <w:adjustRightInd w:val="0"/>
              <w:spacing w:before="20"/>
              <w:jc w:val="right"/>
              <w:rPr>
                <w:rFonts w:ascii="Arial" w:hAnsi="Arial" w:cs="Arial"/>
                <w:lang w:eastAsia="es-MX"/>
              </w:rPr>
            </w:pPr>
            <w:r>
              <w:rPr>
                <w:rFonts w:ascii="Arial" w:hAnsi="Arial" w:cs="Arial"/>
                <w:lang w:eastAsia="es-MX"/>
              </w:rPr>
              <w:t>233’382,415</w:t>
            </w:r>
          </w:p>
        </w:tc>
      </w:tr>
      <w:tr w:rsidR="00182BDF" w:rsidRPr="00D40840" w:rsidTr="000174D5">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182BDF" w:rsidRPr="00D40840" w:rsidRDefault="00182BDF" w:rsidP="000174D5">
            <w:pPr>
              <w:autoSpaceDE w:val="0"/>
              <w:autoSpaceDN w:val="0"/>
              <w:adjustRightInd w:val="0"/>
              <w:spacing w:before="20"/>
              <w:jc w:val="right"/>
              <w:rPr>
                <w:rFonts w:ascii="Arial" w:hAnsi="Arial" w:cs="Arial"/>
                <w:lang w:eastAsia="es-MX"/>
              </w:rPr>
            </w:pPr>
            <w:r w:rsidRPr="00D40840">
              <w:rPr>
                <w:rFonts w:ascii="Arial" w:hAnsi="Arial" w:cs="Arial"/>
                <w:lang w:eastAsia="es-MX"/>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82BDF" w:rsidRPr="00D40840" w:rsidRDefault="007F5AE8" w:rsidP="007F5AE8">
            <w:pPr>
              <w:autoSpaceDE w:val="0"/>
              <w:autoSpaceDN w:val="0"/>
              <w:adjustRightInd w:val="0"/>
              <w:spacing w:before="20"/>
              <w:jc w:val="right"/>
              <w:rPr>
                <w:rFonts w:ascii="Arial" w:hAnsi="Arial" w:cs="Arial"/>
                <w:lang w:eastAsia="es-MX"/>
              </w:rPr>
            </w:pPr>
            <w:r>
              <w:rPr>
                <w:rFonts w:ascii="Arial" w:hAnsi="Arial" w:cs="Arial"/>
                <w:lang w:eastAsia="es-MX"/>
              </w:rPr>
              <w:t>-2</w:t>
            </w:r>
            <w:r w:rsidR="00182BDF">
              <w:rPr>
                <w:rFonts w:ascii="Arial" w:hAnsi="Arial" w:cs="Arial"/>
                <w:lang w:eastAsia="es-MX"/>
              </w:rPr>
              <w:t>,</w:t>
            </w:r>
            <w:r>
              <w:rPr>
                <w:rFonts w:ascii="Arial" w:hAnsi="Arial" w:cs="Arial"/>
                <w:lang w:eastAsia="es-MX"/>
              </w:rPr>
              <w:t>338</w:t>
            </w:r>
            <w:r w:rsidR="00182BDF">
              <w:rPr>
                <w:rFonts w:ascii="Arial" w:hAnsi="Arial" w:cs="Arial"/>
                <w:lang w:eastAsia="es-MX"/>
              </w:rPr>
              <w:t>’</w:t>
            </w:r>
            <w:r>
              <w:rPr>
                <w:rFonts w:ascii="Arial" w:hAnsi="Arial" w:cs="Arial"/>
                <w:lang w:eastAsia="es-MX"/>
              </w:rPr>
              <w:t>590</w:t>
            </w:r>
            <w:r w:rsidR="00182BDF">
              <w:rPr>
                <w:rFonts w:ascii="Arial" w:hAnsi="Arial" w:cs="Arial"/>
                <w:lang w:eastAsia="es-MX"/>
              </w:rPr>
              <w:t>,</w:t>
            </w:r>
            <w:r>
              <w:rPr>
                <w:rFonts w:ascii="Arial" w:hAnsi="Arial" w:cs="Arial"/>
                <w:lang w:eastAsia="es-MX"/>
              </w:rPr>
              <w:t>436</w:t>
            </w:r>
          </w:p>
        </w:tc>
      </w:tr>
    </w:tbl>
    <w:p w:rsidR="00182BDF" w:rsidRPr="00D40840" w:rsidRDefault="00182BDF" w:rsidP="00182BDF">
      <w:pPr>
        <w:autoSpaceDE w:val="0"/>
        <w:autoSpaceDN w:val="0"/>
        <w:adjustRightInd w:val="0"/>
        <w:jc w:val="both"/>
        <w:rPr>
          <w:rFonts w:ascii="Arial" w:hAnsi="Arial" w:cs="Arial"/>
          <w:b/>
          <w:lang w:eastAsia="es-MX"/>
        </w:rPr>
      </w:pPr>
    </w:p>
    <w:p w:rsidR="00182BDF" w:rsidRPr="00D40840" w:rsidRDefault="00182BDF" w:rsidP="00182BDF">
      <w:pPr>
        <w:autoSpaceDE w:val="0"/>
        <w:autoSpaceDN w:val="0"/>
        <w:adjustRightInd w:val="0"/>
        <w:spacing w:before="240" w:after="120"/>
        <w:jc w:val="both"/>
        <w:rPr>
          <w:rFonts w:ascii="Arial" w:hAnsi="Arial" w:cs="Arial"/>
          <w:b/>
          <w:lang w:eastAsia="es-MX"/>
        </w:rPr>
      </w:pPr>
      <w:r w:rsidRPr="00D40840">
        <w:rPr>
          <w:rFonts w:ascii="Arial" w:hAnsi="Arial" w:cs="Arial"/>
          <w:b/>
          <w:lang w:eastAsia="es-MX"/>
        </w:rPr>
        <w:t>Notas al Estado de Actividades</w:t>
      </w:r>
    </w:p>
    <w:p w:rsidR="00182BDF" w:rsidRPr="00D40840" w:rsidRDefault="00182BDF" w:rsidP="00182BDF">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 xml:space="preserve">Este Estado muestra dos grandes agregados representados por los Ingresos y Otros Beneficios, así como los Gastos y Otras Pérdidas, mostrando los conceptos del ingreso de acuerdo a la contribución de la Ley de Ingresos y los Gastos con los conceptos del Clasificador por Objeto del Gasto para la Administración Pública </w:t>
      </w:r>
      <w:r>
        <w:rPr>
          <w:rFonts w:ascii="Arial" w:hAnsi="Arial" w:cs="Arial"/>
          <w:lang w:eastAsia="es-MX"/>
        </w:rPr>
        <w:t>Estatal</w:t>
      </w:r>
      <w:r w:rsidRPr="00D40840">
        <w:rPr>
          <w:rFonts w:ascii="Arial" w:hAnsi="Arial" w:cs="Arial"/>
          <w:lang w:eastAsia="es-MX"/>
        </w:rPr>
        <w:t>, así mismo permite determinar el resultado, el cual p</w:t>
      </w:r>
      <w:r>
        <w:rPr>
          <w:rFonts w:ascii="Arial" w:hAnsi="Arial" w:cs="Arial"/>
          <w:lang w:eastAsia="es-MX"/>
        </w:rPr>
        <w:t xml:space="preserve">ara este ejercicio, ascendió a </w:t>
      </w:r>
      <w:r w:rsidR="00316BDE">
        <w:rPr>
          <w:rFonts w:ascii="Arial" w:hAnsi="Arial" w:cs="Arial"/>
          <w:lang w:eastAsia="es-MX"/>
        </w:rPr>
        <w:t>1,307</w:t>
      </w:r>
      <w:r>
        <w:rPr>
          <w:rFonts w:ascii="Arial" w:hAnsi="Arial" w:cs="Arial"/>
          <w:lang w:eastAsia="es-MX"/>
        </w:rPr>
        <w:t>’</w:t>
      </w:r>
      <w:r w:rsidR="00316BDE">
        <w:rPr>
          <w:rFonts w:ascii="Arial" w:hAnsi="Arial" w:cs="Arial"/>
          <w:lang w:eastAsia="es-MX"/>
        </w:rPr>
        <w:t>297</w:t>
      </w:r>
      <w:r>
        <w:rPr>
          <w:rFonts w:ascii="Arial" w:hAnsi="Arial" w:cs="Arial"/>
          <w:lang w:eastAsia="es-MX"/>
        </w:rPr>
        <w:t>,</w:t>
      </w:r>
      <w:r w:rsidR="00316BDE">
        <w:rPr>
          <w:rFonts w:ascii="Arial" w:hAnsi="Arial" w:cs="Arial"/>
          <w:lang w:eastAsia="es-MX"/>
        </w:rPr>
        <w:t>133</w:t>
      </w:r>
      <w:r w:rsidRPr="00D40840">
        <w:rPr>
          <w:rFonts w:ascii="Arial" w:hAnsi="Arial" w:cs="Arial"/>
          <w:lang w:eastAsia="es-MX"/>
        </w:rPr>
        <w:t xml:space="preserve"> pesos.</w:t>
      </w:r>
    </w:p>
    <w:p w:rsidR="00182BDF" w:rsidRPr="00D40840" w:rsidRDefault="00182BDF" w:rsidP="00182BDF">
      <w:pPr>
        <w:autoSpaceDE w:val="0"/>
        <w:autoSpaceDN w:val="0"/>
        <w:adjustRightInd w:val="0"/>
        <w:spacing w:line="360" w:lineRule="auto"/>
        <w:jc w:val="both"/>
        <w:rPr>
          <w:rFonts w:ascii="Arial" w:hAnsi="Arial" w:cs="Arial"/>
          <w:b/>
          <w:lang w:eastAsia="es-MX"/>
        </w:rPr>
      </w:pPr>
    </w:p>
    <w:p w:rsidR="00182BDF" w:rsidRPr="00D40840" w:rsidRDefault="00182BDF" w:rsidP="00182BDF">
      <w:pPr>
        <w:autoSpaceDE w:val="0"/>
        <w:autoSpaceDN w:val="0"/>
        <w:adjustRightInd w:val="0"/>
        <w:spacing w:before="240" w:after="120" w:line="360" w:lineRule="auto"/>
        <w:jc w:val="both"/>
        <w:rPr>
          <w:rFonts w:ascii="Arial" w:hAnsi="Arial" w:cs="Arial"/>
          <w:b/>
          <w:lang w:eastAsia="es-MX"/>
        </w:rPr>
      </w:pPr>
      <w:r w:rsidRPr="00D40840">
        <w:rPr>
          <w:rFonts w:ascii="Arial" w:hAnsi="Arial" w:cs="Arial"/>
          <w:b/>
          <w:lang w:eastAsia="es-MX"/>
        </w:rPr>
        <w:t>Notas al Estado de Flujo de Efectivo</w:t>
      </w:r>
    </w:p>
    <w:p w:rsidR="00182BDF" w:rsidRPr="00182BDF" w:rsidRDefault="00182BDF" w:rsidP="00182BDF">
      <w:pPr>
        <w:autoSpaceDE w:val="0"/>
        <w:autoSpaceDN w:val="0"/>
        <w:adjustRightInd w:val="0"/>
        <w:spacing w:before="240" w:after="120" w:line="360" w:lineRule="auto"/>
        <w:ind w:left="709"/>
        <w:jc w:val="both"/>
        <w:rPr>
          <w:rFonts w:ascii="Arial" w:hAnsi="Arial" w:cs="Arial"/>
          <w:b/>
          <w:lang w:eastAsia="es-MX"/>
        </w:rPr>
      </w:pPr>
      <w:r w:rsidRPr="00182BDF">
        <w:rPr>
          <w:rFonts w:ascii="Arial" w:hAnsi="Arial" w:cs="Arial"/>
          <w:b/>
          <w:lang w:eastAsia="es-MX"/>
        </w:rPr>
        <w:t>Flujo de Efectivo de las Actividades de Gestión</w:t>
      </w:r>
    </w:p>
    <w:p w:rsidR="00182BDF" w:rsidRDefault="00182BDF" w:rsidP="00182BDF">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Durante el periodo que se informa, el G</w:t>
      </w:r>
      <w:r w:rsidR="00316BDE">
        <w:rPr>
          <w:rFonts w:ascii="Arial" w:hAnsi="Arial" w:cs="Arial"/>
          <w:lang w:eastAsia="es-MX"/>
        </w:rPr>
        <w:t>obierno Estatal tuvo por actividades</w:t>
      </w:r>
      <w:r w:rsidRPr="00D40840">
        <w:rPr>
          <w:rFonts w:ascii="Arial" w:hAnsi="Arial" w:cs="Arial"/>
          <w:lang w:eastAsia="es-MX"/>
        </w:rPr>
        <w:t xml:space="preserve"> </w:t>
      </w:r>
      <w:r w:rsidR="00316BDE">
        <w:rPr>
          <w:rFonts w:ascii="Arial" w:hAnsi="Arial" w:cs="Arial"/>
          <w:lang w:eastAsia="es-MX"/>
        </w:rPr>
        <w:t>de gestión  la cantidad de 60</w:t>
      </w:r>
      <w:r>
        <w:rPr>
          <w:rFonts w:ascii="Arial" w:hAnsi="Arial" w:cs="Arial"/>
          <w:lang w:eastAsia="es-MX"/>
        </w:rPr>
        <w:t>,</w:t>
      </w:r>
      <w:r w:rsidR="00316BDE">
        <w:rPr>
          <w:rFonts w:ascii="Arial" w:hAnsi="Arial" w:cs="Arial"/>
          <w:lang w:eastAsia="es-MX"/>
        </w:rPr>
        <w:t>279</w:t>
      </w:r>
      <w:r>
        <w:rPr>
          <w:rFonts w:ascii="Arial" w:hAnsi="Arial" w:cs="Arial"/>
          <w:lang w:eastAsia="es-MX"/>
        </w:rPr>
        <w:t>’</w:t>
      </w:r>
      <w:r w:rsidR="00316BDE">
        <w:rPr>
          <w:rFonts w:ascii="Arial" w:hAnsi="Arial" w:cs="Arial"/>
          <w:lang w:eastAsia="es-MX"/>
        </w:rPr>
        <w:t>320</w:t>
      </w:r>
      <w:r>
        <w:rPr>
          <w:rFonts w:ascii="Arial" w:hAnsi="Arial" w:cs="Arial"/>
          <w:lang w:eastAsia="es-MX"/>
        </w:rPr>
        <w:t>,</w:t>
      </w:r>
      <w:r w:rsidR="00316BDE">
        <w:rPr>
          <w:rFonts w:ascii="Arial" w:hAnsi="Arial" w:cs="Arial"/>
          <w:lang w:eastAsia="es-MX"/>
        </w:rPr>
        <w:t>599</w:t>
      </w:r>
      <w:r w:rsidRPr="00D40840">
        <w:rPr>
          <w:rFonts w:ascii="Arial" w:hAnsi="Arial" w:cs="Arial"/>
          <w:lang w:eastAsia="es-MX"/>
        </w:rPr>
        <w:t xml:space="preserve"> pesos. </w:t>
      </w:r>
      <w:r w:rsidR="00316BDE">
        <w:rPr>
          <w:rFonts w:ascii="Arial" w:hAnsi="Arial" w:cs="Arial"/>
          <w:lang w:eastAsia="es-MX"/>
        </w:rPr>
        <w:t>La aplicación</w:t>
      </w:r>
      <w:r w:rsidRPr="00D40840">
        <w:rPr>
          <w:rFonts w:ascii="Arial" w:hAnsi="Arial" w:cs="Arial"/>
          <w:lang w:eastAsia="es-MX"/>
        </w:rPr>
        <w:t xml:space="preserve"> por el periodo comprendido del 1 de </w:t>
      </w:r>
      <w:r w:rsidR="00AC77F6">
        <w:rPr>
          <w:rFonts w:ascii="Arial" w:hAnsi="Arial" w:cs="Arial"/>
          <w:lang w:eastAsia="es-MX"/>
        </w:rPr>
        <w:t>enero al 31 de diciembre de 2017</w:t>
      </w:r>
      <w:r w:rsidR="00316BDE">
        <w:rPr>
          <w:rFonts w:ascii="Arial" w:hAnsi="Arial" w:cs="Arial"/>
          <w:lang w:eastAsia="es-MX"/>
        </w:rPr>
        <w:t xml:space="preserve"> asciende a 58,657</w:t>
      </w:r>
      <w:r>
        <w:rPr>
          <w:rFonts w:ascii="Arial" w:hAnsi="Arial" w:cs="Arial"/>
          <w:lang w:eastAsia="es-MX"/>
        </w:rPr>
        <w:t>’</w:t>
      </w:r>
      <w:r w:rsidR="00316BDE">
        <w:rPr>
          <w:rFonts w:ascii="Arial" w:hAnsi="Arial" w:cs="Arial"/>
          <w:lang w:eastAsia="es-MX"/>
        </w:rPr>
        <w:t>430</w:t>
      </w:r>
      <w:r>
        <w:rPr>
          <w:rFonts w:ascii="Arial" w:hAnsi="Arial" w:cs="Arial"/>
          <w:lang w:eastAsia="es-MX"/>
        </w:rPr>
        <w:t>,</w:t>
      </w:r>
      <w:r w:rsidR="00316BDE">
        <w:rPr>
          <w:rFonts w:ascii="Arial" w:hAnsi="Arial" w:cs="Arial"/>
          <w:lang w:eastAsia="es-MX"/>
        </w:rPr>
        <w:t>0</w:t>
      </w:r>
      <w:r>
        <w:rPr>
          <w:rFonts w:ascii="Arial" w:hAnsi="Arial" w:cs="Arial"/>
          <w:lang w:eastAsia="es-MX"/>
        </w:rPr>
        <w:t>76</w:t>
      </w:r>
      <w:r w:rsidRPr="00D40840">
        <w:rPr>
          <w:rFonts w:ascii="Arial" w:hAnsi="Arial" w:cs="Arial"/>
          <w:lang w:eastAsia="es-MX"/>
        </w:rPr>
        <w:t xml:space="preserve"> pesos, reflejándose u</w:t>
      </w:r>
      <w:r>
        <w:rPr>
          <w:rFonts w:ascii="Arial" w:hAnsi="Arial" w:cs="Arial"/>
          <w:lang w:eastAsia="es-MX"/>
        </w:rPr>
        <w:t>n di</w:t>
      </w:r>
      <w:r w:rsidR="00316BDE">
        <w:rPr>
          <w:rFonts w:ascii="Arial" w:hAnsi="Arial" w:cs="Arial"/>
          <w:lang w:eastAsia="es-MX"/>
        </w:rPr>
        <w:t>ferencial de operación por 1,621</w:t>
      </w:r>
      <w:r>
        <w:rPr>
          <w:rFonts w:ascii="Arial" w:hAnsi="Arial" w:cs="Arial"/>
          <w:lang w:eastAsia="es-MX"/>
        </w:rPr>
        <w:t>’</w:t>
      </w:r>
      <w:r w:rsidR="00316BDE">
        <w:rPr>
          <w:rFonts w:ascii="Arial" w:hAnsi="Arial" w:cs="Arial"/>
          <w:lang w:eastAsia="es-MX"/>
        </w:rPr>
        <w:t>890</w:t>
      </w:r>
      <w:r>
        <w:rPr>
          <w:rFonts w:ascii="Arial" w:hAnsi="Arial" w:cs="Arial"/>
          <w:lang w:eastAsia="es-MX"/>
        </w:rPr>
        <w:t>,</w:t>
      </w:r>
      <w:r w:rsidR="00316BDE">
        <w:rPr>
          <w:rFonts w:ascii="Arial" w:hAnsi="Arial" w:cs="Arial"/>
          <w:lang w:eastAsia="es-MX"/>
        </w:rPr>
        <w:t>524</w:t>
      </w:r>
      <w:r>
        <w:rPr>
          <w:rFonts w:ascii="Arial" w:hAnsi="Arial" w:cs="Arial"/>
          <w:lang w:eastAsia="es-MX"/>
        </w:rPr>
        <w:t xml:space="preserve"> </w:t>
      </w:r>
      <w:r w:rsidRPr="00D40840">
        <w:rPr>
          <w:rFonts w:ascii="Arial" w:hAnsi="Arial" w:cs="Arial"/>
          <w:lang w:eastAsia="es-MX"/>
        </w:rPr>
        <w:t>pesos.</w:t>
      </w:r>
    </w:p>
    <w:p w:rsidR="00182BDF" w:rsidRPr="00182BDF" w:rsidRDefault="00182BDF" w:rsidP="00777C80">
      <w:pPr>
        <w:autoSpaceDE w:val="0"/>
        <w:autoSpaceDN w:val="0"/>
        <w:adjustRightInd w:val="0"/>
        <w:spacing w:before="240" w:after="120" w:line="360" w:lineRule="auto"/>
        <w:ind w:left="709"/>
        <w:jc w:val="both"/>
        <w:rPr>
          <w:rFonts w:ascii="Arial" w:hAnsi="Arial" w:cs="Arial"/>
          <w:b/>
          <w:lang w:eastAsia="es-MX"/>
        </w:rPr>
      </w:pPr>
      <w:r w:rsidRPr="00182BDF">
        <w:rPr>
          <w:rFonts w:ascii="Arial" w:hAnsi="Arial" w:cs="Arial"/>
          <w:b/>
          <w:lang w:eastAsia="es-MX"/>
        </w:rPr>
        <w:lastRenderedPageBreak/>
        <w:t>Flujo de Efectivo de las Actividades de Inversión.</w:t>
      </w:r>
    </w:p>
    <w:p w:rsidR="00182BDF" w:rsidRPr="00D40840" w:rsidRDefault="00182BDF" w:rsidP="00777C80">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Durante el periodo que se informa, el Gobierno Estatal en gasto de inversión erogo por el periodo comprendido del 1 de enero al 31 de diciembre d</w:t>
      </w:r>
      <w:r w:rsidR="00AC77F6">
        <w:rPr>
          <w:rFonts w:ascii="Arial" w:hAnsi="Arial" w:cs="Arial"/>
          <w:lang w:eastAsia="es-MX"/>
        </w:rPr>
        <w:t>e 2017</w:t>
      </w:r>
      <w:r w:rsidR="00316BDE">
        <w:rPr>
          <w:rFonts w:ascii="Arial" w:hAnsi="Arial" w:cs="Arial"/>
          <w:lang w:eastAsia="es-MX"/>
        </w:rPr>
        <w:t xml:space="preserve"> asciende a 941’927,036</w:t>
      </w:r>
      <w:r w:rsidRPr="00D40840">
        <w:rPr>
          <w:rFonts w:ascii="Arial" w:hAnsi="Arial" w:cs="Arial"/>
          <w:lang w:eastAsia="es-MX"/>
        </w:rPr>
        <w:t xml:space="preserve"> pesos, reflejándose un diferencial </w:t>
      </w:r>
      <w:r>
        <w:rPr>
          <w:rFonts w:ascii="Arial" w:hAnsi="Arial" w:cs="Arial"/>
          <w:lang w:eastAsia="es-MX"/>
        </w:rPr>
        <w:t>por actividad de</w:t>
      </w:r>
      <w:r w:rsidR="00316BDE">
        <w:rPr>
          <w:rFonts w:ascii="Arial" w:hAnsi="Arial" w:cs="Arial"/>
          <w:lang w:eastAsia="es-MX"/>
        </w:rPr>
        <w:t xml:space="preserve"> inversión por la 926’531,554 pesos</w:t>
      </w:r>
      <w:r w:rsidRPr="00D40840">
        <w:rPr>
          <w:rFonts w:ascii="Arial" w:hAnsi="Arial" w:cs="Arial"/>
          <w:lang w:eastAsia="es-MX"/>
        </w:rPr>
        <w:t>.</w:t>
      </w:r>
    </w:p>
    <w:p w:rsidR="00182BDF" w:rsidRPr="00182BDF" w:rsidRDefault="00182BDF" w:rsidP="00777C80">
      <w:pPr>
        <w:autoSpaceDE w:val="0"/>
        <w:autoSpaceDN w:val="0"/>
        <w:adjustRightInd w:val="0"/>
        <w:spacing w:before="240" w:after="120" w:line="360" w:lineRule="auto"/>
        <w:ind w:left="709"/>
        <w:jc w:val="both"/>
        <w:rPr>
          <w:rFonts w:ascii="Arial" w:hAnsi="Arial" w:cs="Arial"/>
          <w:b/>
          <w:lang w:eastAsia="es-MX"/>
        </w:rPr>
      </w:pPr>
      <w:r w:rsidRPr="00182BDF">
        <w:rPr>
          <w:rFonts w:ascii="Arial" w:hAnsi="Arial" w:cs="Arial"/>
          <w:b/>
          <w:lang w:eastAsia="es-MX"/>
        </w:rPr>
        <w:t>Flujo de Efectivo de las Actividades de Financiamiento</w:t>
      </w:r>
    </w:p>
    <w:p w:rsidR="00182BDF" w:rsidRPr="00D40840" w:rsidRDefault="00182BDF" w:rsidP="00777C80">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Durante el periodo que se informa, el Gobierno Estatal recibió ingresos por financi</w:t>
      </w:r>
      <w:r>
        <w:rPr>
          <w:rFonts w:ascii="Arial" w:hAnsi="Arial" w:cs="Arial"/>
          <w:lang w:eastAsia="es-MX"/>
        </w:rPr>
        <w:t xml:space="preserve">amiento por la cantidad de </w:t>
      </w:r>
      <w:r w:rsidR="000443A3">
        <w:rPr>
          <w:rFonts w:ascii="Arial" w:hAnsi="Arial" w:cs="Arial"/>
          <w:lang w:eastAsia="es-MX"/>
        </w:rPr>
        <w:t>93</w:t>
      </w:r>
      <w:r>
        <w:rPr>
          <w:rFonts w:ascii="Arial" w:hAnsi="Arial" w:cs="Arial"/>
          <w:lang w:eastAsia="es-MX"/>
        </w:rPr>
        <w:t>’</w:t>
      </w:r>
      <w:r w:rsidR="000443A3">
        <w:rPr>
          <w:rFonts w:ascii="Arial" w:hAnsi="Arial" w:cs="Arial"/>
          <w:lang w:eastAsia="es-MX"/>
        </w:rPr>
        <w:t>406</w:t>
      </w:r>
      <w:r>
        <w:rPr>
          <w:rFonts w:ascii="Arial" w:hAnsi="Arial" w:cs="Arial"/>
          <w:lang w:eastAsia="es-MX"/>
        </w:rPr>
        <w:t>,</w:t>
      </w:r>
      <w:r w:rsidR="000443A3">
        <w:rPr>
          <w:rFonts w:ascii="Arial" w:hAnsi="Arial" w:cs="Arial"/>
          <w:lang w:eastAsia="es-MX"/>
        </w:rPr>
        <w:t>252</w:t>
      </w:r>
      <w:r w:rsidRPr="00D40840">
        <w:rPr>
          <w:rFonts w:ascii="Arial" w:hAnsi="Arial" w:cs="Arial"/>
          <w:lang w:eastAsia="es-MX"/>
        </w:rPr>
        <w:t xml:space="preserve"> pesos. La aplicación por actividade</w:t>
      </w:r>
      <w:r>
        <w:rPr>
          <w:rFonts w:ascii="Arial" w:hAnsi="Arial" w:cs="Arial"/>
          <w:lang w:eastAsia="es-MX"/>
        </w:rPr>
        <w:t xml:space="preserve">s de financiamiento fue de </w:t>
      </w:r>
      <w:r w:rsidR="000443A3">
        <w:rPr>
          <w:rFonts w:ascii="Arial" w:hAnsi="Arial" w:cs="Arial"/>
          <w:lang w:eastAsia="es-MX"/>
        </w:rPr>
        <w:t>510</w:t>
      </w:r>
      <w:r>
        <w:rPr>
          <w:rFonts w:ascii="Arial" w:hAnsi="Arial" w:cs="Arial"/>
          <w:lang w:eastAsia="es-MX"/>
        </w:rPr>
        <w:t>’</w:t>
      </w:r>
      <w:r w:rsidR="000443A3">
        <w:rPr>
          <w:rFonts w:ascii="Arial" w:hAnsi="Arial" w:cs="Arial"/>
          <w:lang w:eastAsia="es-MX"/>
        </w:rPr>
        <w:t>296</w:t>
      </w:r>
      <w:r>
        <w:rPr>
          <w:rFonts w:ascii="Arial" w:hAnsi="Arial" w:cs="Arial"/>
          <w:lang w:eastAsia="es-MX"/>
        </w:rPr>
        <w:t>,</w:t>
      </w:r>
      <w:r w:rsidR="000443A3">
        <w:rPr>
          <w:rFonts w:ascii="Arial" w:hAnsi="Arial" w:cs="Arial"/>
          <w:lang w:eastAsia="es-MX"/>
        </w:rPr>
        <w:t>415</w:t>
      </w:r>
      <w:r w:rsidRPr="00D40840">
        <w:rPr>
          <w:rFonts w:ascii="Arial" w:hAnsi="Arial" w:cs="Arial"/>
          <w:lang w:eastAsia="es-MX"/>
        </w:rPr>
        <w:t xml:space="preserve"> pesos, reflejándose un diferencial de </w:t>
      </w:r>
      <w:r w:rsidR="000443A3">
        <w:rPr>
          <w:rFonts w:ascii="Arial" w:hAnsi="Arial" w:cs="Arial"/>
          <w:lang w:eastAsia="es-MX"/>
        </w:rPr>
        <w:t>422’621,003</w:t>
      </w:r>
      <w:bookmarkStart w:id="0" w:name="_GoBack"/>
      <w:bookmarkEnd w:id="0"/>
      <w:r w:rsidRPr="00D40840">
        <w:rPr>
          <w:rFonts w:ascii="Arial" w:hAnsi="Arial" w:cs="Arial"/>
          <w:lang w:eastAsia="es-MX"/>
        </w:rPr>
        <w:t xml:space="preserve"> pesos.</w:t>
      </w:r>
    </w:p>
    <w:p w:rsidR="00182BDF" w:rsidRPr="00D40840" w:rsidRDefault="00182BDF" w:rsidP="00777C80">
      <w:pPr>
        <w:autoSpaceDE w:val="0"/>
        <w:autoSpaceDN w:val="0"/>
        <w:adjustRightInd w:val="0"/>
        <w:spacing w:before="240" w:after="120" w:line="360" w:lineRule="auto"/>
        <w:rPr>
          <w:rFonts w:ascii="Arial" w:hAnsi="Arial" w:cs="Arial"/>
          <w:b/>
          <w:lang w:eastAsia="es-MX"/>
        </w:rPr>
      </w:pPr>
      <w:r w:rsidRPr="00D40840">
        <w:rPr>
          <w:rFonts w:ascii="Arial" w:hAnsi="Arial" w:cs="Arial"/>
          <w:b/>
          <w:lang w:eastAsia="es-MX"/>
        </w:rPr>
        <w:t>Notas de Memoria</w:t>
      </w:r>
    </w:p>
    <w:p w:rsidR="00182BDF" w:rsidRPr="00D40840" w:rsidRDefault="00182BDF" w:rsidP="00777C80">
      <w:pPr>
        <w:autoSpaceDE w:val="0"/>
        <w:autoSpaceDN w:val="0"/>
        <w:adjustRightInd w:val="0"/>
        <w:spacing w:before="80" w:line="360" w:lineRule="auto"/>
        <w:ind w:left="709"/>
        <w:jc w:val="both"/>
        <w:rPr>
          <w:rFonts w:ascii="Arial" w:hAnsi="Arial" w:cs="Arial"/>
          <w:lang w:eastAsia="es-MX"/>
        </w:rPr>
      </w:pPr>
      <w:r w:rsidRPr="00D40840">
        <w:rPr>
          <w:rFonts w:ascii="Arial" w:hAnsi="Arial" w:cs="Arial"/>
          <w:lang w:eastAsia="es-MX"/>
        </w:rPr>
        <w:t>Las notas de memoria del Gobierno Estatal son producto de las notas de cada ente público que lo conforma, mismas que pueden ser consultadas en el respectivo apartado de cada ente público.</w:t>
      </w:r>
    </w:p>
    <w:p w:rsidR="00182BDF" w:rsidRPr="00D40840" w:rsidRDefault="00182BDF" w:rsidP="00777C80">
      <w:pPr>
        <w:autoSpaceDE w:val="0"/>
        <w:autoSpaceDN w:val="0"/>
        <w:adjustRightInd w:val="0"/>
        <w:spacing w:line="360" w:lineRule="auto"/>
        <w:jc w:val="both"/>
        <w:rPr>
          <w:rFonts w:ascii="Arial" w:hAnsi="Arial" w:cs="Arial"/>
          <w:b/>
          <w:lang w:eastAsia="es-MX"/>
        </w:rPr>
      </w:pPr>
    </w:p>
    <w:p w:rsidR="00182BDF" w:rsidRPr="00D40840" w:rsidRDefault="00182BDF" w:rsidP="00777C80">
      <w:pPr>
        <w:autoSpaceDE w:val="0"/>
        <w:autoSpaceDN w:val="0"/>
        <w:adjustRightInd w:val="0"/>
        <w:spacing w:before="240" w:after="120" w:line="360" w:lineRule="auto"/>
        <w:rPr>
          <w:rFonts w:ascii="Arial" w:hAnsi="Arial" w:cs="Arial"/>
          <w:b/>
          <w:lang w:eastAsia="es-MX"/>
        </w:rPr>
      </w:pPr>
      <w:r w:rsidRPr="00D40840">
        <w:rPr>
          <w:rFonts w:ascii="Arial" w:hAnsi="Arial" w:cs="Arial"/>
          <w:b/>
          <w:lang w:eastAsia="es-MX"/>
        </w:rPr>
        <w:t>Notas de Gestión Administrativa</w:t>
      </w:r>
    </w:p>
    <w:p w:rsidR="00182BDF" w:rsidRPr="00D40840" w:rsidRDefault="00182BDF" w:rsidP="00777C80">
      <w:pPr>
        <w:autoSpaceDE w:val="0"/>
        <w:autoSpaceDN w:val="0"/>
        <w:adjustRightInd w:val="0"/>
        <w:spacing w:before="80" w:line="360" w:lineRule="auto"/>
        <w:ind w:left="709"/>
        <w:jc w:val="both"/>
        <w:rPr>
          <w:rFonts w:ascii="Arial" w:hAnsi="Arial" w:cs="Arial"/>
          <w:lang w:val="es-ES_tradnl"/>
        </w:rPr>
      </w:pPr>
      <w:r w:rsidRPr="00D40840">
        <w:rPr>
          <w:rFonts w:ascii="Arial" w:hAnsi="Arial" w:cs="Arial"/>
          <w:lang w:eastAsia="es-MX"/>
        </w:rPr>
        <w:t>Las notas de gestión administrativa del Gobierno Estatal son producto de las notas de cada ente público que lo conforma, mismas que pueden ser consultadas en el respectivo apartado de cada ente público.</w:t>
      </w:r>
    </w:p>
    <w:p w:rsidR="009D0034" w:rsidRDefault="009D0034" w:rsidP="001E4F5F">
      <w:pPr>
        <w:spacing w:line="360" w:lineRule="auto"/>
        <w:jc w:val="center"/>
        <w:rPr>
          <w:rFonts w:ascii="Arial" w:hAnsi="Arial" w:cs="Arial"/>
          <w:b/>
          <w:lang w:val="es-MX"/>
        </w:rPr>
      </w:pPr>
    </w:p>
    <w:p w:rsidR="009D0034" w:rsidRDefault="009D0034" w:rsidP="001E4F5F">
      <w:pPr>
        <w:spacing w:line="360" w:lineRule="auto"/>
        <w:jc w:val="center"/>
        <w:rPr>
          <w:rFonts w:ascii="Arial" w:hAnsi="Arial" w:cs="Arial"/>
          <w:b/>
          <w:lang w:val="es-MX"/>
        </w:rPr>
      </w:pPr>
    </w:p>
    <w:p w:rsidR="009D0034" w:rsidRDefault="009D0034" w:rsidP="001E4F5F">
      <w:pPr>
        <w:spacing w:line="360" w:lineRule="auto"/>
        <w:jc w:val="center"/>
        <w:rPr>
          <w:rFonts w:ascii="Arial" w:hAnsi="Arial" w:cs="Arial"/>
          <w:b/>
          <w:lang w:val="es-MX"/>
        </w:rPr>
      </w:pPr>
    </w:p>
    <w:sectPr w:rsidR="009D0034" w:rsidSect="00F66265">
      <w:footerReference w:type="default" r:id="rId8"/>
      <w:pgSz w:w="15840" w:h="12240" w:orient="landscape" w:code="1"/>
      <w:pgMar w:top="1701" w:right="851" w:bottom="1701" w:left="1134" w:header="397" w:footer="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71" w:rsidRDefault="001B5371" w:rsidP="00066A90">
      <w:r>
        <w:separator/>
      </w:r>
    </w:p>
  </w:endnote>
  <w:endnote w:type="continuationSeparator" w:id="0">
    <w:p w:rsidR="001B5371" w:rsidRDefault="001B5371" w:rsidP="0006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F2" w:rsidRDefault="004346F2" w:rsidP="00E65294">
    <w:pPr>
      <w:pStyle w:val="Piedepgina"/>
      <w:tabs>
        <w:tab w:val="clear" w:pos="4419"/>
        <w:tab w:val="clear" w:pos="8838"/>
        <w:tab w:val="left" w:pos="11408"/>
        <w:tab w:val="left" w:pos="11688"/>
        <w:tab w:val="left" w:pos="11838"/>
      </w:tabs>
      <w:rPr>
        <w:noProof/>
        <w:lang w:eastAsia="es-MX"/>
      </w:rPr>
    </w:pPr>
    <w:r>
      <w:rPr>
        <w:noProof/>
        <w:lang w:eastAsia="es-MX"/>
      </w:rPr>
      <w:drawing>
        <wp:anchor distT="0" distB="0" distL="114300" distR="114300" simplePos="0" relativeHeight="251658240" behindDoc="0" locked="0" layoutInCell="1" allowOverlap="1" wp14:anchorId="2C9A29E9" wp14:editId="31468AEA">
          <wp:simplePos x="0" y="0"/>
          <wp:positionH relativeFrom="margin">
            <wp:posOffset>169545</wp:posOffset>
          </wp:positionH>
          <wp:positionV relativeFrom="margin">
            <wp:posOffset>5655945</wp:posOffset>
          </wp:positionV>
          <wp:extent cx="863600" cy="77025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600" cy="770255"/>
                  </a:xfrm>
                  <a:prstGeom prst="rect">
                    <a:avLst/>
                  </a:prstGeom>
                </pic:spPr>
              </pic:pic>
            </a:graphicData>
          </a:graphic>
        </wp:anchor>
      </w:drawing>
    </w:r>
    <w:r>
      <w:tab/>
    </w:r>
    <w:r w:rsidR="00E65294">
      <w:tab/>
    </w:r>
    <w:r w:rsidR="00E65294">
      <w:tab/>
      <w:t xml:space="preserve"> </w:t>
    </w:r>
    <w:r w:rsidR="00E65294">
      <w:rPr>
        <w:noProof/>
        <w:lang w:eastAsia="es-MX"/>
      </w:rPr>
      <w:t xml:space="preserve"> </w:t>
    </w:r>
    <w:r>
      <w:rPr>
        <w:noProof/>
        <w:lang w:eastAsia="es-MX"/>
      </w:rPr>
      <w:drawing>
        <wp:inline distT="0" distB="0" distL="0" distR="0" wp14:anchorId="7A4C007B" wp14:editId="50BB67D8">
          <wp:extent cx="813600" cy="745200"/>
          <wp:effectExtent l="0" t="0" r="571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h 2.jpg"/>
                  <pic:cNvPicPr/>
                </pic:nvPicPr>
                <pic:blipFill>
                  <a:blip r:embed="rId2">
                    <a:extLst>
                      <a:ext uri="{28A0092B-C50C-407E-A947-70E740481C1C}">
                        <a14:useLocalDpi xmlns:a14="http://schemas.microsoft.com/office/drawing/2010/main" val="0"/>
                      </a:ext>
                    </a:extLst>
                  </a:blip>
                  <a:stretch>
                    <a:fillRect/>
                  </a:stretch>
                </pic:blipFill>
                <pic:spPr>
                  <a:xfrm>
                    <a:off x="0" y="0"/>
                    <a:ext cx="813600" cy="745200"/>
                  </a:xfrm>
                  <a:prstGeom prst="rect">
                    <a:avLst/>
                  </a:prstGeom>
                </pic:spPr>
              </pic:pic>
            </a:graphicData>
          </a:graphic>
        </wp:inline>
      </w:drawing>
    </w:r>
  </w:p>
  <w:p w:rsidR="00E65294" w:rsidRDefault="00E65294" w:rsidP="00E65294">
    <w:pPr>
      <w:pStyle w:val="Piedepgina"/>
      <w:tabs>
        <w:tab w:val="clear" w:pos="4419"/>
        <w:tab w:val="clear" w:pos="8838"/>
        <w:tab w:val="left" w:pos="11408"/>
        <w:tab w:val="left" w:pos="11688"/>
        <w:tab w:val="left" w:pos="11838"/>
      </w:tabs>
      <w:rPr>
        <w:noProof/>
        <w:lang w:eastAsia="es-MX"/>
      </w:rPr>
    </w:pPr>
  </w:p>
  <w:p w:rsidR="00E65294" w:rsidRDefault="00E65294" w:rsidP="00E65294">
    <w:pPr>
      <w:pStyle w:val="Piedepgina"/>
      <w:tabs>
        <w:tab w:val="clear" w:pos="4419"/>
        <w:tab w:val="clear" w:pos="8838"/>
        <w:tab w:val="left" w:pos="11408"/>
        <w:tab w:val="left" w:pos="118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71" w:rsidRDefault="001B5371" w:rsidP="00066A90">
      <w:r>
        <w:separator/>
      </w:r>
    </w:p>
  </w:footnote>
  <w:footnote w:type="continuationSeparator" w:id="0">
    <w:p w:rsidR="001B5371" w:rsidRDefault="001B5371" w:rsidP="00066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71313"/>
    <w:multiLevelType w:val="hybridMultilevel"/>
    <w:tmpl w:val="8E68C91C"/>
    <w:lvl w:ilvl="0" w:tplc="D6AE9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CE7"/>
    <w:rsid w:val="00015B0B"/>
    <w:rsid w:val="000443A3"/>
    <w:rsid w:val="00066A90"/>
    <w:rsid w:val="00077373"/>
    <w:rsid w:val="00130B4F"/>
    <w:rsid w:val="00182BDF"/>
    <w:rsid w:val="001A486A"/>
    <w:rsid w:val="001B5371"/>
    <w:rsid w:val="001E4F5F"/>
    <w:rsid w:val="00285D4D"/>
    <w:rsid w:val="002F0392"/>
    <w:rsid w:val="00316BDE"/>
    <w:rsid w:val="003B0E1B"/>
    <w:rsid w:val="00407C37"/>
    <w:rsid w:val="00417FC5"/>
    <w:rsid w:val="004229CC"/>
    <w:rsid w:val="004346F2"/>
    <w:rsid w:val="004E22B2"/>
    <w:rsid w:val="00501C0F"/>
    <w:rsid w:val="005718CC"/>
    <w:rsid w:val="005C1E56"/>
    <w:rsid w:val="005C59EF"/>
    <w:rsid w:val="005C7B68"/>
    <w:rsid w:val="005E3A7E"/>
    <w:rsid w:val="00610659"/>
    <w:rsid w:val="00691531"/>
    <w:rsid w:val="00777C80"/>
    <w:rsid w:val="00792697"/>
    <w:rsid w:val="007F5AE8"/>
    <w:rsid w:val="008B4660"/>
    <w:rsid w:val="00937FF0"/>
    <w:rsid w:val="00976A1C"/>
    <w:rsid w:val="009B5489"/>
    <w:rsid w:val="009D0034"/>
    <w:rsid w:val="00A7052C"/>
    <w:rsid w:val="00A80CE7"/>
    <w:rsid w:val="00A854B9"/>
    <w:rsid w:val="00AB547B"/>
    <w:rsid w:val="00AC77F6"/>
    <w:rsid w:val="00B925EC"/>
    <w:rsid w:val="00BC290A"/>
    <w:rsid w:val="00C00685"/>
    <w:rsid w:val="00C426B8"/>
    <w:rsid w:val="00CB30E0"/>
    <w:rsid w:val="00D23F73"/>
    <w:rsid w:val="00D72D87"/>
    <w:rsid w:val="00E36E88"/>
    <w:rsid w:val="00E37967"/>
    <w:rsid w:val="00E46848"/>
    <w:rsid w:val="00E51A4D"/>
    <w:rsid w:val="00E65294"/>
    <w:rsid w:val="00F66265"/>
    <w:rsid w:val="00FD1B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0CE7"/>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A80CE7"/>
    <w:rPr>
      <w:rFonts w:ascii="Tahoma" w:hAnsi="Tahoma" w:cs="Tahoma"/>
      <w:sz w:val="16"/>
      <w:szCs w:val="16"/>
    </w:rPr>
  </w:style>
  <w:style w:type="paragraph" w:styleId="Encabezado">
    <w:name w:val="header"/>
    <w:basedOn w:val="Normal"/>
    <w:link w:val="EncabezadoCar"/>
    <w:uiPriority w:val="99"/>
    <w:unhideWhenUsed/>
    <w:rsid w:val="00066A9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066A90"/>
  </w:style>
  <w:style w:type="paragraph" w:styleId="Piedepgina">
    <w:name w:val="footer"/>
    <w:basedOn w:val="Normal"/>
    <w:link w:val="PiedepginaCar"/>
    <w:uiPriority w:val="99"/>
    <w:unhideWhenUsed/>
    <w:rsid w:val="00066A9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066A90"/>
  </w:style>
  <w:style w:type="paragraph" w:styleId="Sangradetextonormal">
    <w:name w:val="Body Text Indent"/>
    <w:basedOn w:val="Normal"/>
    <w:link w:val="SangradetextonormalCar"/>
    <w:rsid w:val="009B5489"/>
    <w:pPr>
      <w:autoSpaceDE w:val="0"/>
      <w:autoSpaceDN w:val="0"/>
      <w:adjustRightInd w:val="0"/>
      <w:ind w:left="360" w:hanging="360"/>
      <w:jc w:val="both"/>
    </w:pPr>
    <w:rPr>
      <w:rFonts w:ascii="Arial" w:hAnsi="Arial" w:cs="Arial"/>
      <w:color w:val="000000"/>
      <w:sz w:val="20"/>
      <w:szCs w:val="20"/>
    </w:rPr>
  </w:style>
  <w:style w:type="character" w:customStyle="1" w:styleId="SangradetextonormalCar">
    <w:name w:val="Sangría de texto normal Car"/>
    <w:basedOn w:val="Fuentedeprrafopredeter"/>
    <w:link w:val="Sangradetextonormal"/>
    <w:rsid w:val="009B5489"/>
    <w:rPr>
      <w:rFonts w:ascii="Arial" w:eastAsia="Times New Roman" w:hAnsi="Arial" w:cs="Arial"/>
      <w:color w:val="000000"/>
      <w:sz w:val="20"/>
      <w:szCs w:val="20"/>
      <w:lang w:val="es-ES" w:eastAsia="es-ES"/>
    </w:rPr>
  </w:style>
  <w:style w:type="paragraph" w:styleId="NormalWeb">
    <w:name w:val="Normal (Web)"/>
    <w:basedOn w:val="Normal"/>
    <w:uiPriority w:val="99"/>
    <w:unhideWhenUsed/>
    <w:rsid w:val="009B5489"/>
    <w:pPr>
      <w:spacing w:before="100" w:beforeAutospacing="1" w:after="100" w:afterAutospacing="1"/>
    </w:pPr>
    <w:rPr>
      <w:lang w:val="es-MX" w:eastAsia="es-MX"/>
    </w:rPr>
  </w:style>
  <w:style w:type="paragraph" w:styleId="Prrafodelista">
    <w:name w:val="List Paragraph"/>
    <w:basedOn w:val="Normal"/>
    <w:uiPriority w:val="34"/>
    <w:qFormat/>
    <w:rsid w:val="005C7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0CE7"/>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A80CE7"/>
    <w:rPr>
      <w:rFonts w:ascii="Tahoma" w:hAnsi="Tahoma" w:cs="Tahoma"/>
      <w:sz w:val="16"/>
      <w:szCs w:val="16"/>
    </w:rPr>
  </w:style>
  <w:style w:type="paragraph" w:styleId="Encabezado">
    <w:name w:val="header"/>
    <w:basedOn w:val="Normal"/>
    <w:link w:val="EncabezadoCar"/>
    <w:uiPriority w:val="99"/>
    <w:unhideWhenUsed/>
    <w:rsid w:val="00066A9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066A90"/>
  </w:style>
  <w:style w:type="paragraph" w:styleId="Piedepgina">
    <w:name w:val="footer"/>
    <w:basedOn w:val="Normal"/>
    <w:link w:val="PiedepginaCar"/>
    <w:uiPriority w:val="99"/>
    <w:unhideWhenUsed/>
    <w:rsid w:val="00066A90"/>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066A90"/>
  </w:style>
  <w:style w:type="paragraph" w:styleId="Sangradetextonormal">
    <w:name w:val="Body Text Indent"/>
    <w:basedOn w:val="Normal"/>
    <w:link w:val="SangradetextonormalCar"/>
    <w:rsid w:val="009B5489"/>
    <w:pPr>
      <w:autoSpaceDE w:val="0"/>
      <w:autoSpaceDN w:val="0"/>
      <w:adjustRightInd w:val="0"/>
      <w:ind w:left="360" w:hanging="360"/>
      <w:jc w:val="both"/>
    </w:pPr>
    <w:rPr>
      <w:rFonts w:ascii="Arial" w:hAnsi="Arial" w:cs="Arial"/>
      <w:color w:val="000000"/>
      <w:sz w:val="20"/>
      <w:szCs w:val="20"/>
    </w:rPr>
  </w:style>
  <w:style w:type="character" w:customStyle="1" w:styleId="SangradetextonormalCar">
    <w:name w:val="Sangría de texto normal Car"/>
    <w:basedOn w:val="Fuentedeprrafopredeter"/>
    <w:link w:val="Sangradetextonormal"/>
    <w:rsid w:val="009B5489"/>
    <w:rPr>
      <w:rFonts w:ascii="Arial" w:eastAsia="Times New Roman" w:hAnsi="Arial" w:cs="Arial"/>
      <w:color w:val="000000"/>
      <w:sz w:val="20"/>
      <w:szCs w:val="20"/>
      <w:lang w:val="es-ES" w:eastAsia="es-ES"/>
    </w:rPr>
  </w:style>
  <w:style w:type="paragraph" w:styleId="NormalWeb">
    <w:name w:val="Normal (Web)"/>
    <w:basedOn w:val="Normal"/>
    <w:uiPriority w:val="99"/>
    <w:unhideWhenUsed/>
    <w:rsid w:val="009B5489"/>
    <w:pPr>
      <w:spacing w:before="100" w:beforeAutospacing="1" w:after="100" w:afterAutospacing="1"/>
    </w:pPr>
    <w:rPr>
      <w:lang w:val="es-MX" w:eastAsia="es-MX"/>
    </w:rPr>
  </w:style>
  <w:style w:type="paragraph" w:styleId="Prrafodelista">
    <w:name w:val="List Paragraph"/>
    <w:basedOn w:val="Normal"/>
    <w:uiPriority w:val="34"/>
    <w:qFormat/>
    <w:rsid w:val="005C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97664">
      <w:bodyDiv w:val="1"/>
      <w:marLeft w:val="0"/>
      <w:marRight w:val="0"/>
      <w:marTop w:val="0"/>
      <w:marBottom w:val="0"/>
      <w:divBdr>
        <w:top w:val="none" w:sz="0" w:space="0" w:color="auto"/>
        <w:left w:val="none" w:sz="0" w:space="0" w:color="auto"/>
        <w:bottom w:val="none" w:sz="0" w:space="0" w:color="auto"/>
        <w:right w:val="none" w:sz="0" w:space="0" w:color="auto"/>
      </w:divBdr>
    </w:div>
    <w:div w:id="896208753">
      <w:bodyDiv w:val="1"/>
      <w:marLeft w:val="0"/>
      <w:marRight w:val="0"/>
      <w:marTop w:val="0"/>
      <w:marBottom w:val="0"/>
      <w:divBdr>
        <w:top w:val="none" w:sz="0" w:space="0" w:color="auto"/>
        <w:left w:val="none" w:sz="0" w:space="0" w:color="auto"/>
        <w:bottom w:val="none" w:sz="0" w:space="0" w:color="auto"/>
        <w:right w:val="none" w:sz="0" w:space="0" w:color="auto"/>
      </w:divBdr>
    </w:div>
    <w:div w:id="1631980569">
      <w:bodyDiv w:val="1"/>
      <w:marLeft w:val="0"/>
      <w:marRight w:val="0"/>
      <w:marTop w:val="0"/>
      <w:marBottom w:val="0"/>
      <w:divBdr>
        <w:top w:val="none" w:sz="0" w:space="0" w:color="auto"/>
        <w:left w:val="none" w:sz="0" w:space="0" w:color="auto"/>
        <w:bottom w:val="none" w:sz="0" w:space="0" w:color="auto"/>
        <w:right w:val="none" w:sz="0" w:space="0" w:color="auto"/>
      </w:divBdr>
    </w:div>
    <w:div w:id="1682001293">
      <w:bodyDiv w:val="1"/>
      <w:marLeft w:val="0"/>
      <w:marRight w:val="0"/>
      <w:marTop w:val="0"/>
      <w:marBottom w:val="0"/>
      <w:divBdr>
        <w:top w:val="none" w:sz="0" w:space="0" w:color="auto"/>
        <w:left w:val="none" w:sz="0" w:space="0" w:color="auto"/>
        <w:bottom w:val="none" w:sz="0" w:space="0" w:color="auto"/>
        <w:right w:val="none" w:sz="0" w:space="0" w:color="auto"/>
      </w:divBdr>
    </w:div>
    <w:div w:id="202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9</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PODER EJECUTIVO</vt:lpstr>
    </vt:vector>
  </TitlesOfParts>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PODER EJECUTIVO</dc:title>
  <dc:creator>Morales Francisco</dc:creator>
  <cp:lastModifiedBy>Manuel José Navarro Baca</cp:lastModifiedBy>
  <cp:revision>8</cp:revision>
  <cp:lastPrinted>2017-02-20T21:25:00Z</cp:lastPrinted>
  <dcterms:created xsi:type="dcterms:W3CDTF">2017-12-21T22:29:00Z</dcterms:created>
  <dcterms:modified xsi:type="dcterms:W3CDTF">2018-02-28T17:13:00Z</dcterms:modified>
</cp:coreProperties>
</file>